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BB" w:rsidRPr="00DC64A0" w:rsidRDefault="000441B9" w:rsidP="007252AC">
      <w:pPr>
        <w:pStyle w:val="Heading1"/>
      </w:pPr>
      <w:bookmarkStart w:id="0" w:name="_GoBack"/>
      <w:bookmarkEnd w:id="0"/>
      <w:r>
        <w:t>Northern Territory</w:t>
      </w:r>
    </w:p>
    <w:p w:rsidR="00E90ED5" w:rsidRDefault="00E90ED5" w:rsidP="00E90ED5">
      <w:pPr>
        <w:pStyle w:val="Heading2"/>
      </w:pPr>
      <w:r w:rsidRPr="00A73FAC">
        <w:rPr>
          <w:rFonts w:ascii="Helv" w:hAnsi="Helv" w:cs="Helv"/>
          <w:color w:val="000000"/>
        </w:rPr>
        <w:t>Socio-Economic Indexes for Areas</w:t>
      </w:r>
    </w:p>
    <w:p w:rsidR="00B75969" w:rsidRDefault="00B75969" w:rsidP="00DC64A0">
      <w:pPr>
        <w:pStyle w:val="Heading2"/>
      </w:pPr>
      <w:r w:rsidRPr="00DC64A0">
        <w:t xml:space="preserve">Most advantaged and disadvantaged Local Government Areas </w:t>
      </w:r>
      <w:r w:rsidR="00D52E88" w:rsidRPr="00DC64A0">
        <w:br/>
      </w:r>
      <w:r w:rsidRPr="00DC64A0">
        <w:t>by IRSAD</w:t>
      </w:r>
    </w:p>
    <w:p w:rsidR="00316586" w:rsidRPr="00316586" w:rsidRDefault="00316586" w:rsidP="00316586">
      <w:pPr>
        <w:jc w:val="center"/>
      </w:pPr>
    </w:p>
    <w:p w:rsidR="00B75969" w:rsidRPr="00433831" w:rsidRDefault="00B75969" w:rsidP="00A01242">
      <w:pPr>
        <w:pStyle w:val="Heading3"/>
        <w:rPr>
          <w:u w:val="single"/>
        </w:rPr>
      </w:pPr>
      <w:r>
        <w:t>Mo</w:t>
      </w:r>
      <w:r w:rsidR="00357B09">
        <w:t>st a</w:t>
      </w:r>
      <w:r>
        <w:t xml:space="preserve">dvantaged </w:t>
      </w:r>
      <w:r w:rsidRPr="00CC6DCB">
        <w:t>Local</w:t>
      </w:r>
      <w:r>
        <w:t xml:space="preserve"> Government Areas</w:t>
      </w:r>
    </w:p>
    <w:tbl>
      <w:tblPr>
        <w:tblStyle w:val="TableGrid"/>
        <w:tblW w:w="7380" w:type="dxa"/>
        <w:jc w:val="center"/>
        <w:tblLayout w:type="fixed"/>
        <w:tblCellMar>
          <w:top w:w="11" w:type="dxa"/>
          <w:bottom w:w="11" w:type="dxa"/>
        </w:tblCellMar>
        <w:tblLook w:val="04A0" w:firstRow="1" w:lastRow="0" w:firstColumn="1" w:lastColumn="0" w:noHBand="0" w:noVBand="1"/>
      </w:tblPr>
      <w:tblGrid>
        <w:gridCol w:w="993"/>
        <w:gridCol w:w="3147"/>
        <w:gridCol w:w="3240"/>
      </w:tblGrid>
      <w:tr w:rsidR="001B54BC" w:rsidRPr="00C8138B" w:rsidTr="00E90ED5">
        <w:trPr>
          <w:jc w:val="center"/>
        </w:trPr>
        <w:tc>
          <w:tcPr>
            <w:tcW w:w="993" w:type="dxa"/>
            <w:tcBorders>
              <w:top w:val="single" w:sz="4" w:space="0" w:color="auto"/>
              <w:left w:val="single" w:sz="4" w:space="0" w:color="auto"/>
            </w:tcBorders>
            <w:shd w:val="clear" w:color="auto" w:fill="8DB3E2" w:themeFill="text2" w:themeFillTint="66"/>
            <w:vAlign w:val="center"/>
          </w:tcPr>
          <w:p w:rsidR="001B54BC" w:rsidRPr="00C8138B" w:rsidRDefault="001B54BC" w:rsidP="009A020D">
            <w:pPr>
              <w:pStyle w:val="TableHeading"/>
              <w:jc w:val="right"/>
              <w:rPr>
                <w:rFonts w:eastAsia="Times New Roman"/>
                <w:color w:val="000000"/>
                <w:lang w:eastAsia="en-AU"/>
              </w:rPr>
            </w:pPr>
            <w:r w:rsidRPr="00C8138B">
              <w:t>Rank</w:t>
            </w:r>
          </w:p>
        </w:tc>
        <w:tc>
          <w:tcPr>
            <w:tcW w:w="3147" w:type="dxa"/>
            <w:tcBorders>
              <w:top w:val="single" w:sz="4" w:space="0" w:color="auto"/>
            </w:tcBorders>
            <w:shd w:val="clear" w:color="auto" w:fill="8DB3E2" w:themeFill="text2" w:themeFillTint="66"/>
            <w:vAlign w:val="center"/>
          </w:tcPr>
          <w:p w:rsidR="001B54BC" w:rsidRPr="00C8138B" w:rsidRDefault="001B54BC" w:rsidP="009A020D">
            <w:pPr>
              <w:pStyle w:val="TableHeading"/>
            </w:pPr>
            <w:r w:rsidRPr="00C8138B">
              <w:t>LGA</w:t>
            </w:r>
          </w:p>
        </w:tc>
        <w:tc>
          <w:tcPr>
            <w:tcW w:w="3240" w:type="dxa"/>
            <w:tcBorders>
              <w:top w:val="single" w:sz="4" w:space="0" w:color="auto"/>
            </w:tcBorders>
            <w:shd w:val="clear" w:color="auto" w:fill="8DB3E2" w:themeFill="text2" w:themeFillTint="66"/>
            <w:vAlign w:val="center"/>
          </w:tcPr>
          <w:p w:rsidR="001B54BC" w:rsidRPr="00C8138B" w:rsidRDefault="001B54BC" w:rsidP="009A020D">
            <w:pPr>
              <w:pStyle w:val="TableHeading"/>
              <w:jc w:val="right"/>
            </w:pPr>
            <w:r w:rsidRPr="00C8138B">
              <w:t>Usual Resident Population</w:t>
            </w:r>
          </w:p>
        </w:tc>
      </w:tr>
      <w:tr w:rsidR="00274B25" w:rsidRPr="002E42CC" w:rsidTr="00CE381C">
        <w:trPr>
          <w:jc w:val="center"/>
        </w:trPr>
        <w:tc>
          <w:tcPr>
            <w:tcW w:w="993" w:type="dxa"/>
            <w:shd w:val="clear" w:color="auto" w:fill="8DB3E2" w:themeFill="text2" w:themeFillTint="66"/>
            <w:vAlign w:val="bottom"/>
          </w:tcPr>
          <w:p w:rsidR="00274B25" w:rsidRPr="00A01242" w:rsidRDefault="00274B25" w:rsidP="00A01242">
            <w:pPr>
              <w:pStyle w:val="TableNumbers"/>
            </w:pPr>
            <w:r w:rsidRPr="00A01242">
              <w:t>1</w:t>
            </w:r>
          </w:p>
        </w:tc>
        <w:tc>
          <w:tcPr>
            <w:tcW w:w="3147" w:type="dxa"/>
            <w:shd w:val="clear" w:color="auto" w:fill="C6D9F1" w:themeFill="text2" w:themeFillTint="33"/>
            <w:vAlign w:val="bottom"/>
          </w:tcPr>
          <w:p w:rsidR="00274B25" w:rsidRPr="001B6491" w:rsidRDefault="00274B25" w:rsidP="00631117">
            <w:pPr>
              <w:pStyle w:val="TableText"/>
            </w:pPr>
            <w:r>
              <w:t>Darwin</w:t>
            </w:r>
          </w:p>
        </w:tc>
        <w:tc>
          <w:tcPr>
            <w:tcW w:w="3240" w:type="dxa"/>
            <w:shd w:val="clear" w:color="auto" w:fill="C6D9F1" w:themeFill="text2" w:themeFillTint="33"/>
          </w:tcPr>
          <w:p w:rsidR="00274B25" w:rsidRDefault="00274B25" w:rsidP="00A14FE2">
            <w:pPr>
              <w:pStyle w:val="TableNumbers"/>
            </w:pPr>
            <w:r>
              <w:t>72,972</w:t>
            </w:r>
          </w:p>
        </w:tc>
      </w:tr>
      <w:tr w:rsidR="00274B25" w:rsidRPr="002E42CC" w:rsidTr="00CE381C">
        <w:trPr>
          <w:jc w:val="center"/>
        </w:trPr>
        <w:tc>
          <w:tcPr>
            <w:tcW w:w="993" w:type="dxa"/>
            <w:shd w:val="clear" w:color="auto" w:fill="8DB3E2" w:themeFill="text2" w:themeFillTint="66"/>
            <w:vAlign w:val="bottom"/>
          </w:tcPr>
          <w:p w:rsidR="00274B25" w:rsidRPr="00A01242" w:rsidRDefault="00274B25" w:rsidP="005E20D7">
            <w:pPr>
              <w:pStyle w:val="TableNumbers"/>
            </w:pPr>
            <w:r>
              <w:t>2</w:t>
            </w:r>
          </w:p>
        </w:tc>
        <w:tc>
          <w:tcPr>
            <w:tcW w:w="3147" w:type="dxa"/>
            <w:shd w:val="clear" w:color="auto" w:fill="C6D9F1" w:themeFill="text2" w:themeFillTint="33"/>
            <w:vAlign w:val="bottom"/>
          </w:tcPr>
          <w:p w:rsidR="00274B25" w:rsidRDefault="00274B25" w:rsidP="005E20D7">
            <w:pPr>
              <w:pStyle w:val="TableText"/>
            </w:pPr>
            <w:r>
              <w:t>Litchfield</w:t>
            </w:r>
          </w:p>
        </w:tc>
        <w:tc>
          <w:tcPr>
            <w:tcW w:w="3240" w:type="dxa"/>
            <w:shd w:val="clear" w:color="auto" w:fill="C6D9F1" w:themeFill="text2" w:themeFillTint="33"/>
          </w:tcPr>
          <w:p w:rsidR="00274B25" w:rsidRDefault="00274B25" w:rsidP="00A14FE2">
            <w:pPr>
              <w:pStyle w:val="TableNumbers"/>
            </w:pPr>
            <w:r>
              <w:t>19,000</w:t>
            </w:r>
          </w:p>
        </w:tc>
      </w:tr>
      <w:tr w:rsidR="00274B25" w:rsidRPr="002E42CC" w:rsidTr="00CE381C">
        <w:trPr>
          <w:jc w:val="center"/>
        </w:trPr>
        <w:tc>
          <w:tcPr>
            <w:tcW w:w="993" w:type="dxa"/>
            <w:shd w:val="clear" w:color="auto" w:fill="8DB3E2" w:themeFill="text2" w:themeFillTint="66"/>
            <w:vAlign w:val="bottom"/>
          </w:tcPr>
          <w:p w:rsidR="00274B25" w:rsidRPr="00A01242" w:rsidRDefault="00274B25" w:rsidP="005E20D7">
            <w:pPr>
              <w:pStyle w:val="TableNumbers"/>
            </w:pPr>
            <w:r>
              <w:t>3</w:t>
            </w:r>
          </w:p>
        </w:tc>
        <w:tc>
          <w:tcPr>
            <w:tcW w:w="3147" w:type="dxa"/>
            <w:shd w:val="clear" w:color="auto" w:fill="C6D9F1" w:themeFill="text2" w:themeFillTint="33"/>
            <w:vAlign w:val="bottom"/>
          </w:tcPr>
          <w:p w:rsidR="00274B25" w:rsidRDefault="00274B25" w:rsidP="005E20D7">
            <w:pPr>
              <w:pStyle w:val="TableText"/>
            </w:pPr>
            <w:r>
              <w:t>Palmerston</w:t>
            </w:r>
          </w:p>
        </w:tc>
        <w:tc>
          <w:tcPr>
            <w:tcW w:w="3240" w:type="dxa"/>
            <w:shd w:val="clear" w:color="auto" w:fill="C6D9F1" w:themeFill="text2" w:themeFillTint="33"/>
          </w:tcPr>
          <w:p w:rsidR="00274B25" w:rsidRDefault="00274B25" w:rsidP="00A14FE2">
            <w:pPr>
              <w:pStyle w:val="TableNumbers"/>
            </w:pPr>
            <w:r>
              <w:t>27,714</w:t>
            </w:r>
          </w:p>
        </w:tc>
      </w:tr>
      <w:tr w:rsidR="00274B25" w:rsidRPr="002E42CC" w:rsidTr="00CE381C">
        <w:trPr>
          <w:jc w:val="center"/>
        </w:trPr>
        <w:tc>
          <w:tcPr>
            <w:tcW w:w="993" w:type="dxa"/>
            <w:shd w:val="clear" w:color="auto" w:fill="8DB3E2" w:themeFill="text2" w:themeFillTint="66"/>
            <w:vAlign w:val="bottom"/>
          </w:tcPr>
          <w:p w:rsidR="00274B25" w:rsidRPr="00A01242" w:rsidRDefault="00274B25" w:rsidP="005E20D7">
            <w:pPr>
              <w:pStyle w:val="TableNumbers"/>
            </w:pPr>
            <w:r>
              <w:t>4</w:t>
            </w:r>
          </w:p>
        </w:tc>
        <w:tc>
          <w:tcPr>
            <w:tcW w:w="3147" w:type="dxa"/>
            <w:shd w:val="clear" w:color="auto" w:fill="C6D9F1" w:themeFill="text2" w:themeFillTint="33"/>
            <w:vAlign w:val="bottom"/>
          </w:tcPr>
          <w:p w:rsidR="00274B25" w:rsidRDefault="00274B25" w:rsidP="005E20D7">
            <w:pPr>
              <w:pStyle w:val="TableText"/>
            </w:pPr>
            <w:r>
              <w:t>Unincorporated NT</w:t>
            </w:r>
          </w:p>
        </w:tc>
        <w:tc>
          <w:tcPr>
            <w:tcW w:w="3240" w:type="dxa"/>
            <w:shd w:val="clear" w:color="auto" w:fill="C6D9F1" w:themeFill="text2" w:themeFillTint="33"/>
          </w:tcPr>
          <w:p w:rsidR="00274B25" w:rsidRDefault="00274B25" w:rsidP="00A14FE2">
            <w:pPr>
              <w:pStyle w:val="TableNumbers"/>
            </w:pPr>
            <w:r>
              <w:t>7,982</w:t>
            </w:r>
          </w:p>
        </w:tc>
      </w:tr>
      <w:tr w:rsidR="00274B25" w:rsidRPr="002E42CC" w:rsidTr="00CE381C">
        <w:trPr>
          <w:jc w:val="center"/>
        </w:trPr>
        <w:tc>
          <w:tcPr>
            <w:tcW w:w="993" w:type="dxa"/>
            <w:shd w:val="clear" w:color="auto" w:fill="8DB3E2" w:themeFill="text2" w:themeFillTint="66"/>
            <w:vAlign w:val="bottom"/>
          </w:tcPr>
          <w:p w:rsidR="00274B25" w:rsidRDefault="00274B25" w:rsidP="005E20D7">
            <w:pPr>
              <w:pStyle w:val="TableNumbers"/>
            </w:pPr>
            <w:r>
              <w:t>5</w:t>
            </w:r>
          </w:p>
        </w:tc>
        <w:tc>
          <w:tcPr>
            <w:tcW w:w="3147" w:type="dxa"/>
            <w:shd w:val="clear" w:color="auto" w:fill="C6D9F1" w:themeFill="text2" w:themeFillTint="33"/>
            <w:vAlign w:val="bottom"/>
          </w:tcPr>
          <w:p w:rsidR="00274B25" w:rsidRDefault="00274B25" w:rsidP="00DF40A4">
            <w:pPr>
              <w:pStyle w:val="TableText"/>
            </w:pPr>
            <w:r>
              <w:t>Alice Springs</w:t>
            </w:r>
          </w:p>
        </w:tc>
        <w:tc>
          <w:tcPr>
            <w:tcW w:w="3240" w:type="dxa"/>
            <w:shd w:val="clear" w:color="auto" w:fill="C6D9F1" w:themeFill="text2" w:themeFillTint="33"/>
          </w:tcPr>
          <w:p w:rsidR="00274B25" w:rsidRDefault="00274B25" w:rsidP="00A14FE2">
            <w:pPr>
              <w:pStyle w:val="TableNumbers"/>
            </w:pPr>
            <w:r>
              <w:t>25,181</w:t>
            </w:r>
          </w:p>
        </w:tc>
      </w:tr>
    </w:tbl>
    <w:p w:rsidR="00316586" w:rsidRDefault="00316586" w:rsidP="00023160">
      <w:pPr>
        <w:pStyle w:val="Heading3"/>
      </w:pPr>
    </w:p>
    <w:p w:rsidR="005D2C2E" w:rsidRPr="00433831" w:rsidRDefault="00023160" w:rsidP="00023160">
      <w:pPr>
        <w:pStyle w:val="Heading3"/>
        <w:rPr>
          <w:u w:val="single"/>
        </w:rPr>
      </w:pPr>
      <w:r>
        <w:t>Most disadvantaged Local Government Areas</w:t>
      </w:r>
    </w:p>
    <w:tbl>
      <w:tblPr>
        <w:tblStyle w:val="TableGrid"/>
        <w:tblW w:w="7380" w:type="dxa"/>
        <w:jc w:val="center"/>
        <w:tblLayout w:type="fixed"/>
        <w:tblCellMar>
          <w:top w:w="11" w:type="dxa"/>
          <w:bottom w:w="11" w:type="dxa"/>
        </w:tblCellMar>
        <w:tblLook w:val="04A0" w:firstRow="1" w:lastRow="0" w:firstColumn="1" w:lastColumn="0" w:noHBand="0" w:noVBand="1"/>
      </w:tblPr>
      <w:tblGrid>
        <w:gridCol w:w="993"/>
        <w:gridCol w:w="3147"/>
        <w:gridCol w:w="3240"/>
      </w:tblGrid>
      <w:tr w:rsidR="001B54BC" w:rsidRPr="002E42CC" w:rsidTr="00E90ED5">
        <w:trPr>
          <w:jc w:val="center"/>
        </w:trPr>
        <w:tc>
          <w:tcPr>
            <w:tcW w:w="993" w:type="dxa"/>
            <w:shd w:val="clear" w:color="auto" w:fill="8DB3E2" w:themeFill="text2" w:themeFillTint="66"/>
            <w:vAlign w:val="center"/>
          </w:tcPr>
          <w:p w:rsidR="001B54BC" w:rsidRPr="00A01242" w:rsidRDefault="001B54BC" w:rsidP="009A020D">
            <w:pPr>
              <w:pStyle w:val="TableHeading"/>
              <w:jc w:val="right"/>
            </w:pPr>
            <w:r w:rsidRPr="00C8138B">
              <w:t>Rank</w:t>
            </w:r>
          </w:p>
        </w:tc>
        <w:tc>
          <w:tcPr>
            <w:tcW w:w="3147" w:type="dxa"/>
            <w:shd w:val="clear" w:color="auto" w:fill="8DB3E2" w:themeFill="text2" w:themeFillTint="66"/>
            <w:vAlign w:val="center"/>
          </w:tcPr>
          <w:p w:rsidR="001B54BC" w:rsidRPr="00594664" w:rsidRDefault="001B54BC" w:rsidP="009A020D">
            <w:pPr>
              <w:pStyle w:val="TableHeading"/>
            </w:pPr>
            <w:r>
              <w:t>LGA</w:t>
            </w:r>
          </w:p>
        </w:tc>
        <w:tc>
          <w:tcPr>
            <w:tcW w:w="3240" w:type="dxa"/>
            <w:shd w:val="clear" w:color="auto" w:fill="8DB3E2" w:themeFill="text2" w:themeFillTint="66"/>
            <w:vAlign w:val="center"/>
          </w:tcPr>
          <w:p w:rsidR="001B54BC" w:rsidRPr="00594664" w:rsidRDefault="001B54BC" w:rsidP="009A020D">
            <w:pPr>
              <w:pStyle w:val="TableHeading"/>
              <w:jc w:val="right"/>
            </w:pPr>
            <w:r>
              <w:t>U</w:t>
            </w:r>
            <w:r w:rsidRPr="00594664">
              <w:t>s</w:t>
            </w:r>
            <w:r>
              <w:t>ual Resident Population</w:t>
            </w:r>
          </w:p>
        </w:tc>
      </w:tr>
      <w:tr w:rsidR="00274B25" w:rsidRPr="002E42CC" w:rsidTr="0010034A">
        <w:trPr>
          <w:jc w:val="center"/>
        </w:trPr>
        <w:tc>
          <w:tcPr>
            <w:tcW w:w="993" w:type="dxa"/>
            <w:shd w:val="clear" w:color="auto" w:fill="8DB3E2" w:themeFill="text2" w:themeFillTint="66"/>
            <w:vAlign w:val="bottom"/>
          </w:tcPr>
          <w:p w:rsidR="00274B25" w:rsidRPr="009C247B" w:rsidRDefault="00274B25" w:rsidP="002467CF">
            <w:pPr>
              <w:pStyle w:val="TableNumbers"/>
              <w:rPr>
                <w:lang w:eastAsia="en-AU"/>
              </w:rPr>
            </w:pPr>
            <w:r>
              <w:rPr>
                <w:lang w:eastAsia="en-AU"/>
              </w:rPr>
              <w:t>1</w:t>
            </w:r>
          </w:p>
        </w:tc>
        <w:tc>
          <w:tcPr>
            <w:tcW w:w="3147" w:type="dxa"/>
            <w:shd w:val="clear" w:color="auto" w:fill="C6D9F1" w:themeFill="text2" w:themeFillTint="33"/>
            <w:vAlign w:val="bottom"/>
          </w:tcPr>
          <w:p w:rsidR="00274B25" w:rsidRPr="001B6491" w:rsidRDefault="00274B25" w:rsidP="00A01242">
            <w:pPr>
              <w:pStyle w:val="TableText"/>
            </w:pPr>
            <w:proofErr w:type="spellStart"/>
            <w:r>
              <w:t>Belyuen</w:t>
            </w:r>
            <w:proofErr w:type="spellEnd"/>
          </w:p>
        </w:tc>
        <w:tc>
          <w:tcPr>
            <w:tcW w:w="3240" w:type="dxa"/>
            <w:shd w:val="clear" w:color="auto" w:fill="C6D9F1" w:themeFill="text2" w:themeFillTint="33"/>
          </w:tcPr>
          <w:p w:rsidR="00274B25" w:rsidRDefault="00274B25" w:rsidP="00A14FE2">
            <w:pPr>
              <w:pStyle w:val="TableNumbers"/>
            </w:pPr>
            <w:r>
              <w:t>181</w:t>
            </w:r>
          </w:p>
        </w:tc>
      </w:tr>
      <w:tr w:rsidR="00274B25" w:rsidRPr="002E42CC" w:rsidTr="0010034A">
        <w:trPr>
          <w:jc w:val="center"/>
        </w:trPr>
        <w:tc>
          <w:tcPr>
            <w:tcW w:w="993" w:type="dxa"/>
            <w:shd w:val="clear" w:color="auto" w:fill="8DB3E2" w:themeFill="text2" w:themeFillTint="66"/>
            <w:vAlign w:val="bottom"/>
          </w:tcPr>
          <w:p w:rsidR="00274B25" w:rsidRPr="009C247B" w:rsidRDefault="00274B25" w:rsidP="002467CF">
            <w:pPr>
              <w:pStyle w:val="TableNumbers"/>
              <w:rPr>
                <w:lang w:eastAsia="en-AU"/>
              </w:rPr>
            </w:pPr>
            <w:r>
              <w:rPr>
                <w:lang w:eastAsia="en-AU"/>
              </w:rPr>
              <w:t>2</w:t>
            </w:r>
          </w:p>
        </w:tc>
        <w:tc>
          <w:tcPr>
            <w:tcW w:w="3147" w:type="dxa"/>
            <w:shd w:val="clear" w:color="auto" w:fill="C6D9F1" w:themeFill="text2" w:themeFillTint="33"/>
            <w:vAlign w:val="bottom"/>
          </w:tcPr>
          <w:p w:rsidR="00274B25" w:rsidRPr="001B6491" w:rsidRDefault="00274B25" w:rsidP="00A01242">
            <w:pPr>
              <w:pStyle w:val="TableText"/>
            </w:pPr>
            <w:r>
              <w:t>East Arnhem</w:t>
            </w:r>
          </w:p>
        </w:tc>
        <w:tc>
          <w:tcPr>
            <w:tcW w:w="3240" w:type="dxa"/>
            <w:shd w:val="clear" w:color="auto" w:fill="C6D9F1" w:themeFill="text2" w:themeFillTint="33"/>
          </w:tcPr>
          <w:p w:rsidR="00274B25" w:rsidRDefault="00274B25" w:rsidP="00A14FE2">
            <w:pPr>
              <w:pStyle w:val="TableNumbers"/>
            </w:pPr>
            <w:r>
              <w:t>9,102</w:t>
            </w:r>
          </w:p>
        </w:tc>
      </w:tr>
      <w:tr w:rsidR="00274B25" w:rsidRPr="002E42CC" w:rsidTr="0010034A">
        <w:trPr>
          <w:jc w:val="center"/>
        </w:trPr>
        <w:tc>
          <w:tcPr>
            <w:tcW w:w="993" w:type="dxa"/>
            <w:shd w:val="clear" w:color="auto" w:fill="8DB3E2" w:themeFill="text2" w:themeFillTint="66"/>
            <w:vAlign w:val="bottom"/>
          </w:tcPr>
          <w:p w:rsidR="00274B25" w:rsidRPr="009C247B" w:rsidRDefault="00274B25" w:rsidP="002467CF">
            <w:pPr>
              <w:pStyle w:val="TableNumbers"/>
              <w:rPr>
                <w:lang w:eastAsia="en-AU"/>
              </w:rPr>
            </w:pPr>
            <w:r>
              <w:rPr>
                <w:lang w:eastAsia="en-AU"/>
              </w:rPr>
              <w:t>3</w:t>
            </w:r>
          </w:p>
        </w:tc>
        <w:tc>
          <w:tcPr>
            <w:tcW w:w="3147" w:type="dxa"/>
            <w:shd w:val="clear" w:color="auto" w:fill="C6D9F1" w:themeFill="text2" w:themeFillTint="33"/>
            <w:vAlign w:val="bottom"/>
          </w:tcPr>
          <w:p w:rsidR="00274B25" w:rsidRPr="001B6491" w:rsidRDefault="00274B25" w:rsidP="00A01242">
            <w:pPr>
              <w:pStyle w:val="TableText"/>
            </w:pPr>
            <w:r>
              <w:t>Central Desert</w:t>
            </w:r>
          </w:p>
        </w:tc>
        <w:tc>
          <w:tcPr>
            <w:tcW w:w="3240" w:type="dxa"/>
            <w:shd w:val="clear" w:color="auto" w:fill="C6D9F1" w:themeFill="text2" w:themeFillTint="33"/>
          </w:tcPr>
          <w:p w:rsidR="00274B25" w:rsidRDefault="00274B25" w:rsidP="00A14FE2">
            <w:pPr>
              <w:pStyle w:val="TableNumbers"/>
            </w:pPr>
            <w:r>
              <w:t>3,736</w:t>
            </w:r>
          </w:p>
        </w:tc>
      </w:tr>
      <w:tr w:rsidR="00274B25" w:rsidRPr="002E42CC" w:rsidTr="0010034A">
        <w:trPr>
          <w:jc w:val="center"/>
        </w:trPr>
        <w:tc>
          <w:tcPr>
            <w:tcW w:w="993" w:type="dxa"/>
            <w:shd w:val="clear" w:color="auto" w:fill="8DB3E2" w:themeFill="text2" w:themeFillTint="66"/>
            <w:vAlign w:val="bottom"/>
          </w:tcPr>
          <w:p w:rsidR="00274B25" w:rsidRPr="009C247B" w:rsidRDefault="00274B25" w:rsidP="002467CF">
            <w:pPr>
              <w:pStyle w:val="TableNumbers"/>
              <w:rPr>
                <w:lang w:eastAsia="en-AU"/>
              </w:rPr>
            </w:pPr>
            <w:r>
              <w:rPr>
                <w:lang w:eastAsia="en-AU"/>
              </w:rPr>
              <w:t>4</w:t>
            </w:r>
          </w:p>
        </w:tc>
        <w:tc>
          <w:tcPr>
            <w:tcW w:w="3147" w:type="dxa"/>
            <w:shd w:val="clear" w:color="auto" w:fill="C6D9F1" w:themeFill="text2" w:themeFillTint="33"/>
            <w:vAlign w:val="bottom"/>
          </w:tcPr>
          <w:p w:rsidR="00274B25" w:rsidRPr="001B6491" w:rsidRDefault="00274B25" w:rsidP="00A01242">
            <w:pPr>
              <w:pStyle w:val="TableText"/>
            </w:pPr>
            <w:r>
              <w:t>Roper Gulf</w:t>
            </w:r>
          </w:p>
        </w:tc>
        <w:tc>
          <w:tcPr>
            <w:tcW w:w="3240" w:type="dxa"/>
            <w:shd w:val="clear" w:color="auto" w:fill="C6D9F1" w:themeFill="text2" w:themeFillTint="33"/>
          </w:tcPr>
          <w:p w:rsidR="00274B25" w:rsidRDefault="00274B25" w:rsidP="00A14FE2">
            <w:pPr>
              <w:pStyle w:val="TableNumbers"/>
            </w:pPr>
            <w:r>
              <w:t>6,121</w:t>
            </w:r>
          </w:p>
        </w:tc>
      </w:tr>
      <w:tr w:rsidR="00274B25" w:rsidRPr="002E42CC" w:rsidTr="0010034A">
        <w:trPr>
          <w:trHeight w:val="93"/>
          <w:jc w:val="center"/>
        </w:trPr>
        <w:tc>
          <w:tcPr>
            <w:tcW w:w="993" w:type="dxa"/>
            <w:shd w:val="clear" w:color="auto" w:fill="8DB3E2" w:themeFill="text2" w:themeFillTint="66"/>
            <w:vAlign w:val="bottom"/>
          </w:tcPr>
          <w:p w:rsidR="00274B25" w:rsidRPr="009C247B" w:rsidRDefault="00274B25" w:rsidP="002467CF">
            <w:pPr>
              <w:pStyle w:val="TableNumbers"/>
              <w:rPr>
                <w:lang w:eastAsia="en-AU"/>
              </w:rPr>
            </w:pPr>
            <w:r>
              <w:rPr>
                <w:lang w:eastAsia="en-AU"/>
              </w:rPr>
              <w:t>5</w:t>
            </w:r>
          </w:p>
        </w:tc>
        <w:tc>
          <w:tcPr>
            <w:tcW w:w="3147" w:type="dxa"/>
            <w:shd w:val="clear" w:color="auto" w:fill="C6D9F1" w:themeFill="text2" w:themeFillTint="33"/>
            <w:vAlign w:val="bottom"/>
          </w:tcPr>
          <w:p w:rsidR="00274B25" w:rsidRPr="001B6491" w:rsidRDefault="00274B25" w:rsidP="00A01242">
            <w:pPr>
              <w:pStyle w:val="TableText"/>
            </w:pPr>
            <w:r>
              <w:t>Victoria-Daly</w:t>
            </w:r>
          </w:p>
        </w:tc>
        <w:tc>
          <w:tcPr>
            <w:tcW w:w="3240" w:type="dxa"/>
            <w:shd w:val="clear" w:color="auto" w:fill="C6D9F1" w:themeFill="text2" w:themeFillTint="33"/>
          </w:tcPr>
          <w:p w:rsidR="00274B25" w:rsidRDefault="00274B25" w:rsidP="00A14FE2">
            <w:pPr>
              <w:pStyle w:val="TableNumbers"/>
            </w:pPr>
            <w:r>
              <w:t>5,917</w:t>
            </w:r>
          </w:p>
        </w:tc>
      </w:tr>
    </w:tbl>
    <w:p w:rsidR="00A01242" w:rsidRDefault="00A01242" w:rsidP="00A01242"/>
    <w:p w:rsidR="001B54BC" w:rsidRPr="00E90ED5" w:rsidRDefault="001B54BC" w:rsidP="001B54BC">
      <w:pPr>
        <w:pStyle w:val="ListParagraph"/>
        <w:numPr>
          <w:ilvl w:val="0"/>
          <w:numId w:val="6"/>
        </w:numPr>
        <w:ind w:left="357" w:hanging="357"/>
        <w:outlineLvl w:val="0"/>
        <w:rPr>
          <w:rFonts w:cs="Arial"/>
          <w:b/>
          <w:bCs/>
          <w:color w:val="4F81BD" w:themeColor="accent1"/>
          <w:sz w:val="18"/>
          <w:szCs w:val="18"/>
        </w:rPr>
      </w:pPr>
      <w:r w:rsidRPr="00AC2091">
        <w:rPr>
          <w:rFonts w:cs="Arial"/>
          <w:b/>
          <w:color w:val="4F81BD" w:themeColor="accent1"/>
          <w:sz w:val="18"/>
          <w:szCs w:val="18"/>
        </w:rPr>
        <w:t xml:space="preserve">The Index of Relative Socio-Economic Advantage and Disadvantage (IRSAD) summarises variables that indicate either relative advantage or disadvantage.  This index ranks areas on a continuum from most disadvantaged to most </w:t>
      </w:r>
      <w:proofErr w:type="gramStart"/>
      <w:r w:rsidRPr="00AC2091">
        <w:rPr>
          <w:rFonts w:cs="Arial"/>
          <w:b/>
          <w:color w:val="4F81BD" w:themeColor="accent1"/>
          <w:sz w:val="18"/>
          <w:szCs w:val="18"/>
        </w:rPr>
        <w:t>advantaged</w:t>
      </w:r>
      <w:proofErr w:type="gramEnd"/>
      <w:r w:rsidRPr="00AC2091">
        <w:rPr>
          <w:rFonts w:cs="Arial"/>
          <w:b/>
          <w:color w:val="4F81BD" w:themeColor="accent1"/>
          <w:sz w:val="18"/>
          <w:szCs w:val="18"/>
        </w:rPr>
        <w:t>.</w:t>
      </w:r>
    </w:p>
    <w:p w:rsidR="00E90ED5" w:rsidRPr="00ED3C4A" w:rsidRDefault="00E90ED5" w:rsidP="00E90ED5">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 xml:space="preserve">For the purposes of </w:t>
      </w:r>
      <w:r w:rsidRPr="00492758">
        <w:rPr>
          <w:rFonts w:cs="Arial"/>
          <w:b/>
          <w:color w:val="4F81BD" w:themeColor="accent1"/>
          <w:sz w:val="18"/>
          <w:szCs w:val="18"/>
        </w:rPr>
        <w:t>Socio-Economic Indexes for Areas</w:t>
      </w:r>
      <w:r>
        <w:rPr>
          <w:rFonts w:cs="Arial"/>
          <w:b/>
          <w:color w:val="4F81BD" w:themeColor="accent1"/>
          <w:sz w:val="18"/>
          <w:szCs w:val="18"/>
        </w:rPr>
        <w:t xml:space="preserve"> (SEIFA), the ABS defines relative socio-</w:t>
      </w:r>
      <w:proofErr w:type="gramStart"/>
      <w:r>
        <w:rPr>
          <w:rFonts w:cs="Arial"/>
          <w:b/>
          <w:color w:val="4F81BD" w:themeColor="accent1"/>
          <w:sz w:val="18"/>
          <w:szCs w:val="18"/>
        </w:rPr>
        <w:t>economic</w:t>
      </w:r>
      <w:proofErr w:type="gramEnd"/>
      <w:r>
        <w:rPr>
          <w:rFonts w:cs="Arial"/>
          <w:b/>
          <w:color w:val="4F81BD" w:themeColor="accent1"/>
          <w:sz w:val="18"/>
          <w:szCs w:val="18"/>
        </w:rPr>
        <w:t xml:space="preserve"> advantage and disadvantage in terms of people’s access to material and social resources, and their ability to participate in society.</w:t>
      </w:r>
    </w:p>
    <w:p w:rsidR="00E90ED5" w:rsidRPr="00F9553F" w:rsidRDefault="00E90ED5" w:rsidP="00E90ED5">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Local Government Areas are geographical areas under the responsibility of an incorporated local government council, or an incorporated Indigenous government council.  The LGAs collectively cover only a part of Australia.</w:t>
      </w:r>
    </w:p>
    <w:p w:rsidR="00AE73AE" w:rsidRPr="00AE73AE" w:rsidRDefault="00AE73AE" w:rsidP="00AE73AE">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There are parts of Australia not administered by incorporated bodies.  These regions are identified as `Unincorporated’ in the ABS LGA structure.  The `Unincorporated’ areas contain population (often a substantial amount), so for the purposes of SEIFA we have included them in the LGA rankings, even though they are not an LGA.  This is consistent with past versions of SEIFA.</w:t>
      </w:r>
    </w:p>
    <w:p w:rsidR="00E90ED5" w:rsidRPr="00E90ED5" w:rsidRDefault="00E90ED5" w:rsidP="00E90ED5">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 xml:space="preserve">SEIFA is primarily a tool for investigating the relative advantage and disadvantage of areas at a point in time.  Comparing changes over time is </w:t>
      </w:r>
      <w:proofErr w:type="gramStart"/>
      <w:r>
        <w:rPr>
          <w:rFonts w:cs="Arial"/>
          <w:b/>
          <w:color w:val="4F81BD" w:themeColor="accent1"/>
          <w:sz w:val="18"/>
          <w:szCs w:val="18"/>
        </w:rPr>
        <w:t>possible,</w:t>
      </w:r>
      <w:proofErr w:type="gramEnd"/>
      <w:r>
        <w:rPr>
          <w:rFonts w:cs="Arial"/>
          <w:b/>
          <w:color w:val="4F81BD" w:themeColor="accent1"/>
          <w:sz w:val="18"/>
          <w:szCs w:val="18"/>
        </w:rPr>
        <w:t xml:space="preserve"> however these types of analysis can be difficult to interpret correctly.  SEIFA is a relative measure and therefore provides no information on changes over time at a national level.</w:t>
      </w:r>
    </w:p>
    <w:p w:rsidR="00414231" w:rsidRPr="00DC64A0" w:rsidRDefault="00414231">
      <w:pPr>
        <w:rPr>
          <w:rFonts w:eastAsia="Times New Roman" w:cs="Arial"/>
          <w:b/>
          <w:color w:val="000000"/>
          <w:szCs w:val="20"/>
          <w:lang w:eastAsia="en-AU"/>
        </w:rPr>
      </w:pPr>
      <w:r>
        <w:rPr>
          <w:rFonts w:eastAsia="Times New Roman" w:cs="Arial"/>
          <w:b/>
          <w:color w:val="000000"/>
          <w:sz w:val="28"/>
          <w:szCs w:val="28"/>
          <w:lang w:eastAsia="en-AU"/>
        </w:rPr>
        <w:br w:type="page"/>
      </w:r>
    </w:p>
    <w:p w:rsidR="00B75969" w:rsidRPr="002467CF" w:rsidRDefault="00E90ED5" w:rsidP="002467CF">
      <w:pPr>
        <w:pStyle w:val="Heading1"/>
      </w:pPr>
      <w:r>
        <w:lastRenderedPageBreak/>
        <w:t xml:space="preserve">Northern Territory </w:t>
      </w:r>
      <w:r w:rsidR="00023160">
        <w:t>Cap</w:t>
      </w:r>
      <w:r w:rsidR="001A40A3">
        <w:t>ital City -</w:t>
      </w:r>
      <w:r w:rsidR="00C822BA">
        <w:t xml:space="preserve"> </w:t>
      </w:r>
      <w:r>
        <w:t>Darwin</w:t>
      </w:r>
    </w:p>
    <w:p w:rsidR="00E90ED5" w:rsidRDefault="00E90ED5" w:rsidP="00E90ED5">
      <w:pPr>
        <w:pStyle w:val="Heading2"/>
      </w:pPr>
      <w:r w:rsidRPr="00A73FAC">
        <w:rPr>
          <w:rFonts w:ascii="Helv" w:hAnsi="Helv" w:cs="Helv"/>
          <w:color w:val="000000"/>
        </w:rPr>
        <w:t>Socio-Economic Indexes for Areas</w:t>
      </w:r>
    </w:p>
    <w:p w:rsidR="00B75969" w:rsidRDefault="00B75969" w:rsidP="002467CF">
      <w:pPr>
        <w:pStyle w:val="Heading2"/>
      </w:pPr>
      <w:r w:rsidRPr="002467CF">
        <w:t xml:space="preserve">Most advantaged and disadvantaged </w:t>
      </w:r>
      <w:r w:rsidR="00316586">
        <w:t>Statistical Areas Level 2 (SA2s)</w:t>
      </w:r>
      <w:r w:rsidR="00316586" w:rsidRPr="002467CF">
        <w:t xml:space="preserve"> </w:t>
      </w:r>
      <w:r w:rsidRPr="002467CF">
        <w:t>by IRSAD</w:t>
      </w:r>
    </w:p>
    <w:p w:rsidR="00316586" w:rsidRPr="00316586" w:rsidRDefault="00316586" w:rsidP="00316586"/>
    <w:p w:rsidR="00B75969" w:rsidRPr="002467CF" w:rsidRDefault="00B75969" w:rsidP="002467CF">
      <w:pPr>
        <w:pStyle w:val="Heading3"/>
      </w:pPr>
      <w:r w:rsidRPr="002467CF">
        <w:t>Mo</w:t>
      </w:r>
      <w:r w:rsidR="00357B09" w:rsidRPr="002467CF">
        <w:t>st a</w:t>
      </w:r>
      <w:r w:rsidRPr="002467CF">
        <w:t xml:space="preserve">dvantaged </w:t>
      </w:r>
      <w:r w:rsidR="00316586">
        <w:t>SA2</w:t>
      </w:r>
      <w:r w:rsidR="00357B09" w:rsidRPr="002467CF">
        <w:t>s</w:t>
      </w:r>
    </w:p>
    <w:tbl>
      <w:tblPr>
        <w:tblStyle w:val="TableGrid"/>
        <w:tblW w:w="7380" w:type="dxa"/>
        <w:jc w:val="center"/>
        <w:tblLayout w:type="fixed"/>
        <w:tblCellMar>
          <w:top w:w="11" w:type="dxa"/>
          <w:bottom w:w="11" w:type="dxa"/>
        </w:tblCellMar>
        <w:tblLook w:val="04A0" w:firstRow="1" w:lastRow="0" w:firstColumn="1" w:lastColumn="0" w:noHBand="0" w:noVBand="1"/>
      </w:tblPr>
      <w:tblGrid>
        <w:gridCol w:w="993"/>
        <w:gridCol w:w="3147"/>
        <w:gridCol w:w="3240"/>
      </w:tblGrid>
      <w:tr w:rsidR="001B54BC" w:rsidRPr="002E42CC" w:rsidTr="00E90ED5">
        <w:trPr>
          <w:jc w:val="center"/>
        </w:trPr>
        <w:tc>
          <w:tcPr>
            <w:tcW w:w="993" w:type="dxa"/>
            <w:tcBorders>
              <w:top w:val="single" w:sz="4" w:space="0" w:color="auto"/>
              <w:left w:val="single" w:sz="4" w:space="0" w:color="auto"/>
            </w:tcBorders>
            <w:shd w:val="clear" w:color="auto" w:fill="8DB3E2" w:themeFill="text2" w:themeFillTint="66"/>
            <w:vAlign w:val="center"/>
          </w:tcPr>
          <w:p w:rsidR="001B54BC" w:rsidRPr="002467CF" w:rsidRDefault="001B54BC" w:rsidP="007252AC">
            <w:pPr>
              <w:pStyle w:val="TableHeading"/>
              <w:jc w:val="right"/>
            </w:pPr>
            <w:r w:rsidRPr="00C8138B">
              <w:t>Rank</w:t>
            </w:r>
          </w:p>
        </w:tc>
        <w:tc>
          <w:tcPr>
            <w:tcW w:w="3147" w:type="dxa"/>
            <w:shd w:val="clear" w:color="auto" w:fill="8DB3E2" w:themeFill="text2" w:themeFillTint="66"/>
            <w:vAlign w:val="center"/>
          </w:tcPr>
          <w:p w:rsidR="001B54BC" w:rsidRPr="00594664" w:rsidRDefault="00316586" w:rsidP="007252AC">
            <w:pPr>
              <w:pStyle w:val="TableHeading"/>
            </w:pPr>
            <w:r>
              <w:t>SA2</w:t>
            </w:r>
          </w:p>
        </w:tc>
        <w:tc>
          <w:tcPr>
            <w:tcW w:w="3240" w:type="dxa"/>
            <w:shd w:val="clear" w:color="auto" w:fill="8DB3E2" w:themeFill="text2" w:themeFillTint="66"/>
            <w:vAlign w:val="center"/>
          </w:tcPr>
          <w:p w:rsidR="001B54BC" w:rsidRPr="00594664" w:rsidRDefault="001B54BC" w:rsidP="007252AC">
            <w:pPr>
              <w:pStyle w:val="TableHeading"/>
              <w:jc w:val="right"/>
            </w:pPr>
            <w:r>
              <w:t>U</w:t>
            </w:r>
            <w:r w:rsidRPr="00594664">
              <w:t>s</w:t>
            </w:r>
            <w:r>
              <w:t>ual Resident Population</w:t>
            </w:r>
          </w:p>
        </w:tc>
      </w:tr>
      <w:tr w:rsidR="00C822BA" w:rsidRPr="002E42CC" w:rsidTr="00E90ED5">
        <w:trPr>
          <w:jc w:val="center"/>
        </w:trPr>
        <w:tc>
          <w:tcPr>
            <w:tcW w:w="993" w:type="dxa"/>
            <w:shd w:val="clear" w:color="auto" w:fill="8DB3E2" w:themeFill="text2" w:themeFillTint="66"/>
            <w:vAlign w:val="bottom"/>
          </w:tcPr>
          <w:p w:rsidR="00C822BA" w:rsidRPr="009C247B" w:rsidRDefault="00C822BA" w:rsidP="002467CF">
            <w:pPr>
              <w:pStyle w:val="TableNumbers"/>
              <w:rPr>
                <w:lang w:eastAsia="en-AU"/>
              </w:rPr>
            </w:pPr>
            <w:r>
              <w:rPr>
                <w:lang w:eastAsia="en-AU"/>
              </w:rPr>
              <w:t>1</w:t>
            </w:r>
          </w:p>
        </w:tc>
        <w:tc>
          <w:tcPr>
            <w:tcW w:w="3147" w:type="dxa"/>
            <w:shd w:val="clear" w:color="auto" w:fill="C6D9F1" w:themeFill="text2" w:themeFillTint="33"/>
            <w:vAlign w:val="bottom"/>
          </w:tcPr>
          <w:p w:rsidR="00C822BA" w:rsidRDefault="00316586" w:rsidP="00DF40A4">
            <w:pPr>
              <w:pStyle w:val="TableText"/>
            </w:pPr>
            <w:proofErr w:type="spellStart"/>
            <w:r>
              <w:t>Woolner</w:t>
            </w:r>
            <w:proofErr w:type="spellEnd"/>
            <w:r>
              <w:t>-Bayview-Winnellie</w:t>
            </w:r>
          </w:p>
        </w:tc>
        <w:tc>
          <w:tcPr>
            <w:tcW w:w="3240" w:type="dxa"/>
            <w:shd w:val="clear" w:color="auto" w:fill="C6D9F1" w:themeFill="text2" w:themeFillTint="33"/>
            <w:vAlign w:val="bottom"/>
          </w:tcPr>
          <w:p w:rsidR="00C822BA" w:rsidRDefault="00316586" w:rsidP="00DF40A4">
            <w:pPr>
              <w:pStyle w:val="TableNumbers"/>
            </w:pPr>
            <w:r>
              <w:t>2,657</w:t>
            </w:r>
          </w:p>
        </w:tc>
      </w:tr>
      <w:tr w:rsidR="00C822BA" w:rsidRPr="002E42CC" w:rsidTr="00E90ED5">
        <w:trPr>
          <w:jc w:val="center"/>
        </w:trPr>
        <w:tc>
          <w:tcPr>
            <w:tcW w:w="993" w:type="dxa"/>
            <w:shd w:val="clear" w:color="auto" w:fill="8DB3E2" w:themeFill="text2" w:themeFillTint="66"/>
            <w:vAlign w:val="bottom"/>
          </w:tcPr>
          <w:p w:rsidR="00C822BA" w:rsidRPr="009C247B" w:rsidRDefault="00C822BA" w:rsidP="002467CF">
            <w:pPr>
              <w:pStyle w:val="TableNumbers"/>
              <w:rPr>
                <w:lang w:eastAsia="en-AU"/>
              </w:rPr>
            </w:pPr>
            <w:r>
              <w:rPr>
                <w:lang w:eastAsia="en-AU"/>
              </w:rPr>
              <w:t>2</w:t>
            </w:r>
          </w:p>
        </w:tc>
        <w:tc>
          <w:tcPr>
            <w:tcW w:w="3147" w:type="dxa"/>
            <w:shd w:val="clear" w:color="auto" w:fill="C6D9F1" w:themeFill="text2" w:themeFillTint="33"/>
            <w:vAlign w:val="bottom"/>
          </w:tcPr>
          <w:p w:rsidR="00C822BA" w:rsidRPr="001B6491" w:rsidRDefault="00316586" w:rsidP="00DF40A4">
            <w:pPr>
              <w:pStyle w:val="TableText"/>
            </w:pPr>
            <w:r>
              <w:t>Durack-Marlow Lagoon</w:t>
            </w:r>
          </w:p>
        </w:tc>
        <w:tc>
          <w:tcPr>
            <w:tcW w:w="3240" w:type="dxa"/>
            <w:shd w:val="clear" w:color="auto" w:fill="C6D9F1" w:themeFill="text2" w:themeFillTint="33"/>
            <w:vAlign w:val="bottom"/>
          </w:tcPr>
          <w:p w:rsidR="00C822BA" w:rsidRPr="001B6491" w:rsidRDefault="00316586" w:rsidP="00DF40A4">
            <w:pPr>
              <w:pStyle w:val="TableNumbers"/>
            </w:pPr>
            <w:r>
              <w:t>3,662</w:t>
            </w:r>
          </w:p>
        </w:tc>
      </w:tr>
      <w:tr w:rsidR="00C822BA" w:rsidRPr="002E42CC" w:rsidTr="00E90ED5">
        <w:trPr>
          <w:jc w:val="center"/>
        </w:trPr>
        <w:tc>
          <w:tcPr>
            <w:tcW w:w="993" w:type="dxa"/>
            <w:shd w:val="clear" w:color="auto" w:fill="8DB3E2" w:themeFill="text2" w:themeFillTint="66"/>
            <w:vAlign w:val="bottom"/>
          </w:tcPr>
          <w:p w:rsidR="00C822BA" w:rsidRDefault="00C822BA" w:rsidP="002467CF">
            <w:pPr>
              <w:pStyle w:val="TableNumbers"/>
              <w:rPr>
                <w:lang w:eastAsia="en-AU"/>
              </w:rPr>
            </w:pPr>
            <w:r>
              <w:rPr>
                <w:lang w:eastAsia="en-AU"/>
              </w:rPr>
              <w:t>3</w:t>
            </w:r>
          </w:p>
        </w:tc>
        <w:tc>
          <w:tcPr>
            <w:tcW w:w="3147" w:type="dxa"/>
            <w:shd w:val="clear" w:color="auto" w:fill="C6D9F1" w:themeFill="text2" w:themeFillTint="33"/>
            <w:vAlign w:val="bottom"/>
          </w:tcPr>
          <w:p w:rsidR="00C822BA" w:rsidRPr="001B6491" w:rsidRDefault="00316586" w:rsidP="00DF40A4">
            <w:pPr>
              <w:pStyle w:val="TableText"/>
            </w:pPr>
            <w:r>
              <w:t>Lyons</w:t>
            </w:r>
          </w:p>
        </w:tc>
        <w:tc>
          <w:tcPr>
            <w:tcW w:w="3240" w:type="dxa"/>
            <w:shd w:val="clear" w:color="auto" w:fill="C6D9F1" w:themeFill="text2" w:themeFillTint="33"/>
            <w:vAlign w:val="bottom"/>
          </w:tcPr>
          <w:p w:rsidR="00C822BA" w:rsidRPr="001B6491" w:rsidRDefault="00316586" w:rsidP="00DF40A4">
            <w:pPr>
              <w:pStyle w:val="TableNumbers"/>
            </w:pPr>
            <w:r>
              <w:t>2,065</w:t>
            </w:r>
          </w:p>
        </w:tc>
      </w:tr>
      <w:tr w:rsidR="00C822BA" w:rsidRPr="002E42CC" w:rsidTr="00E90ED5">
        <w:trPr>
          <w:jc w:val="center"/>
        </w:trPr>
        <w:tc>
          <w:tcPr>
            <w:tcW w:w="993" w:type="dxa"/>
            <w:shd w:val="clear" w:color="auto" w:fill="8DB3E2" w:themeFill="text2" w:themeFillTint="66"/>
            <w:vAlign w:val="bottom"/>
          </w:tcPr>
          <w:p w:rsidR="00C822BA" w:rsidRDefault="00C822BA" w:rsidP="002467CF">
            <w:pPr>
              <w:pStyle w:val="TableNumbers"/>
              <w:rPr>
                <w:lang w:eastAsia="en-AU"/>
              </w:rPr>
            </w:pPr>
            <w:r>
              <w:rPr>
                <w:lang w:eastAsia="en-AU"/>
              </w:rPr>
              <w:t>4</w:t>
            </w:r>
          </w:p>
        </w:tc>
        <w:tc>
          <w:tcPr>
            <w:tcW w:w="3147" w:type="dxa"/>
            <w:shd w:val="clear" w:color="auto" w:fill="C6D9F1" w:themeFill="text2" w:themeFillTint="33"/>
            <w:vAlign w:val="bottom"/>
          </w:tcPr>
          <w:p w:rsidR="00C822BA" w:rsidRDefault="00316586" w:rsidP="00DF40A4">
            <w:pPr>
              <w:pStyle w:val="TableText"/>
            </w:pPr>
            <w:r>
              <w:t>Palmerston-North</w:t>
            </w:r>
          </w:p>
        </w:tc>
        <w:tc>
          <w:tcPr>
            <w:tcW w:w="3240" w:type="dxa"/>
            <w:shd w:val="clear" w:color="auto" w:fill="C6D9F1" w:themeFill="text2" w:themeFillTint="33"/>
            <w:vAlign w:val="bottom"/>
          </w:tcPr>
          <w:p w:rsidR="00C822BA" w:rsidRDefault="00316586" w:rsidP="00DF40A4">
            <w:pPr>
              <w:pStyle w:val="TableNumbers"/>
            </w:pPr>
            <w:r>
              <w:t>4,136</w:t>
            </w:r>
          </w:p>
        </w:tc>
      </w:tr>
      <w:tr w:rsidR="00C822BA" w:rsidRPr="002E42CC" w:rsidTr="00E90ED5">
        <w:trPr>
          <w:jc w:val="center"/>
        </w:trPr>
        <w:tc>
          <w:tcPr>
            <w:tcW w:w="993" w:type="dxa"/>
            <w:shd w:val="clear" w:color="auto" w:fill="8DB3E2" w:themeFill="text2" w:themeFillTint="66"/>
            <w:vAlign w:val="bottom"/>
          </w:tcPr>
          <w:p w:rsidR="00C822BA" w:rsidRDefault="00C822BA" w:rsidP="002467CF">
            <w:pPr>
              <w:pStyle w:val="TableNumbers"/>
              <w:rPr>
                <w:lang w:eastAsia="en-AU"/>
              </w:rPr>
            </w:pPr>
            <w:r>
              <w:rPr>
                <w:lang w:eastAsia="en-AU"/>
              </w:rPr>
              <w:t>5</w:t>
            </w:r>
          </w:p>
        </w:tc>
        <w:tc>
          <w:tcPr>
            <w:tcW w:w="3147" w:type="dxa"/>
            <w:shd w:val="clear" w:color="auto" w:fill="C6D9F1" w:themeFill="text2" w:themeFillTint="33"/>
            <w:vAlign w:val="bottom"/>
          </w:tcPr>
          <w:p w:rsidR="00C822BA" w:rsidRDefault="00A63EE1" w:rsidP="00DF40A4">
            <w:pPr>
              <w:pStyle w:val="TableText"/>
            </w:pPr>
            <w:r>
              <w:t>Roseber</w:t>
            </w:r>
            <w:r w:rsidR="00316586">
              <w:t>y-Bellamack</w:t>
            </w:r>
          </w:p>
        </w:tc>
        <w:tc>
          <w:tcPr>
            <w:tcW w:w="3240" w:type="dxa"/>
            <w:shd w:val="clear" w:color="auto" w:fill="C6D9F1" w:themeFill="text2" w:themeFillTint="33"/>
            <w:vAlign w:val="bottom"/>
          </w:tcPr>
          <w:p w:rsidR="00C822BA" w:rsidRDefault="00316586" w:rsidP="00DF40A4">
            <w:pPr>
              <w:pStyle w:val="TableNumbers"/>
            </w:pPr>
            <w:r>
              <w:t>3,749</w:t>
            </w:r>
          </w:p>
        </w:tc>
      </w:tr>
    </w:tbl>
    <w:p w:rsidR="00316586" w:rsidRDefault="00316586" w:rsidP="00CC6DCB">
      <w:pPr>
        <w:pStyle w:val="Heading3"/>
      </w:pPr>
    </w:p>
    <w:p w:rsidR="00B75969" w:rsidRPr="00433831" w:rsidRDefault="00357B09" w:rsidP="00CC6DCB">
      <w:pPr>
        <w:pStyle w:val="Heading3"/>
        <w:rPr>
          <w:u w:val="single"/>
        </w:rPr>
      </w:pPr>
      <w:r>
        <w:t>Most d</w:t>
      </w:r>
      <w:r w:rsidR="00B75969">
        <w:t xml:space="preserve">isadvantaged </w:t>
      </w:r>
      <w:r w:rsidR="00316586">
        <w:t>SA2</w:t>
      </w:r>
      <w:r>
        <w:t>s</w:t>
      </w:r>
    </w:p>
    <w:tbl>
      <w:tblPr>
        <w:tblStyle w:val="TableGrid"/>
        <w:tblW w:w="7380" w:type="dxa"/>
        <w:jc w:val="center"/>
        <w:tblLayout w:type="fixed"/>
        <w:tblCellMar>
          <w:top w:w="11" w:type="dxa"/>
          <w:bottom w:w="11" w:type="dxa"/>
        </w:tblCellMar>
        <w:tblLook w:val="04A0" w:firstRow="1" w:lastRow="0" w:firstColumn="1" w:lastColumn="0" w:noHBand="0" w:noVBand="1"/>
      </w:tblPr>
      <w:tblGrid>
        <w:gridCol w:w="993"/>
        <w:gridCol w:w="3147"/>
        <w:gridCol w:w="3240"/>
      </w:tblGrid>
      <w:tr w:rsidR="001B54BC" w:rsidRPr="002E42CC" w:rsidTr="00E90ED5">
        <w:trPr>
          <w:jc w:val="center"/>
        </w:trPr>
        <w:tc>
          <w:tcPr>
            <w:tcW w:w="993" w:type="dxa"/>
            <w:tcBorders>
              <w:top w:val="single" w:sz="4" w:space="0" w:color="auto"/>
              <w:left w:val="single" w:sz="4" w:space="0" w:color="auto"/>
            </w:tcBorders>
            <w:shd w:val="clear" w:color="auto" w:fill="8DB3E2" w:themeFill="text2" w:themeFillTint="66"/>
            <w:vAlign w:val="center"/>
          </w:tcPr>
          <w:p w:rsidR="001B54BC" w:rsidRPr="002467CF" w:rsidRDefault="001B54BC" w:rsidP="007252AC">
            <w:pPr>
              <w:pStyle w:val="TableHeading"/>
              <w:jc w:val="right"/>
            </w:pPr>
            <w:r w:rsidRPr="00C8138B">
              <w:t>Rank</w:t>
            </w:r>
          </w:p>
        </w:tc>
        <w:tc>
          <w:tcPr>
            <w:tcW w:w="3147" w:type="dxa"/>
            <w:tcBorders>
              <w:top w:val="single" w:sz="4" w:space="0" w:color="auto"/>
            </w:tcBorders>
            <w:shd w:val="clear" w:color="auto" w:fill="8DB3E2" w:themeFill="text2" w:themeFillTint="66"/>
            <w:vAlign w:val="center"/>
          </w:tcPr>
          <w:p w:rsidR="001B54BC" w:rsidRPr="00594664" w:rsidRDefault="00316586" w:rsidP="007252AC">
            <w:pPr>
              <w:pStyle w:val="TableHeading"/>
            </w:pPr>
            <w:r>
              <w:t>SA2</w:t>
            </w:r>
          </w:p>
        </w:tc>
        <w:tc>
          <w:tcPr>
            <w:tcW w:w="3240" w:type="dxa"/>
            <w:tcBorders>
              <w:top w:val="single" w:sz="4" w:space="0" w:color="auto"/>
            </w:tcBorders>
            <w:shd w:val="clear" w:color="auto" w:fill="8DB3E2" w:themeFill="text2" w:themeFillTint="66"/>
            <w:vAlign w:val="center"/>
          </w:tcPr>
          <w:p w:rsidR="001B54BC" w:rsidRPr="00594664" w:rsidRDefault="001B54BC" w:rsidP="007252AC">
            <w:pPr>
              <w:pStyle w:val="TableHeading"/>
              <w:jc w:val="right"/>
            </w:pPr>
            <w:r>
              <w:t>U</w:t>
            </w:r>
            <w:r w:rsidRPr="00594664">
              <w:t>s</w:t>
            </w:r>
            <w:r>
              <w:t>ual Resident Population</w:t>
            </w:r>
          </w:p>
        </w:tc>
      </w:tr>
      <w:tr w:rsidR="00FB13F6" w:rsidRPr="002E42CC" w:rsidTr="00E90ED5">
        <w:trPr>
          <w:jc w:val="center"/>
        </w:trPr>
        <w:tc>
          <w:tcPr>
            <w:tcW w:w="993" w:type="dxa"/>
            <w:shd w:val="clear" w:color="auto" w:fill="8DB3E2" w:themeFill="text2" w:themeFillTint="66"/>
            <w:vAlign w:val="bottom"/>
          </w:tcPr>
          <w:p w:rsidR="00FB13F6" w:rsidRDefault="00FB13F6" w:rsidP="002467CF">
            <w:pPr>
              <w:pStyle w:val="TableNumbers"/>
              <w:rPr>
                <w:lang w:eastAsia="en-AU"/>
              </w:rPr>
            </w:pPr>
            <w:r>
              <w:rPr>
                <w:lang w:eastAsia="en-AU"/>
              </w:rPr>
              <w:t>1</w:t>
            </w:r>
          </w:p>
        </w:tc>
        <w:tc>
          <w:tcPr>
            <w:tcW w:w="3147" w:type="dxa"/>
            <w:shd w:val="clear" w:color="auto" w:fill="C6D9F1" w:themeFill="text2" w:themeFillTint="33"/>
            <w:vAlign w:val="bottom"/>
          </w:tcPr>
          <w:p w:rsidR="00FB13F6" w:rsidRDefault="00316586" w:rsidP="002467CF">
            <w:pPr>
              <w:pStyle w:val="TableText"/>
            </w:pPr>
            <w:r>
              <w:t>Moulden</w:t>
            </w:r>
          </w:p>
        </w:tc>
        <w:tc>
          <w:tcPr>
            <w:tcW w:w="3240" w:type="dxa"/>
            <w:shd w:val="clear" w:color="auto" w:fill="C6D9F1" w:themeFill="text2" w:themeFillTint="33"/>
            <w:vAlign w:val="bottom"/>
          </w:tcPr>
          <w:p w:rsidR="00FB13F6" w:rsidRDefault="00316586" w:rsidP="002467CF">
            <w:pPr>
              <w:pStyle w:val="TableNumbers"/>
            </w:pPr>
            <w:r>
              <w:t>3,191</w:t>
            </w:r>
          </w:p>
        </w:tc>
      </w:tr>
      <w:tr w:rsidR="001B54BC" w:rsidRPr="002E42CC" w:rsidTr="00E90ED5">
        <w:trPr>
          <w:jc w:val="center"/>
        </w:trPr>
        <w:tc>
          <w:tcPr>
            <w:tcW w:w="993" w:type="dxa"/>
            <w:shd w:val="clear" w:color="auto" w:fill="8DB3E2" w:themeFill="text2" w:themeFillTint="66"/>
            <w:vAlign w:val="bottom"/>
          </w:tcPr>
          <w:p w:rsidR="001B54BC" w:rsidRDefault="00FB13F6" w:rsidP="002467CF">
            <w:pPr>
              <w:pStyle w:val="TableNumbers"/>
              <w:rPr>
                <w:lang w:eastAsia="en-AU"/>
              </w:rPr>
            </w:pPr>
            <w:r>
              <w:rPr>
                <w:lang w:eastAsia="en-AU"/>
              </w:rPr>
              <w:t>2</w:t>
            </w:r>
          </w:p>
        </w:tc>
        <w:tc>
          <w:tcPr>
            <w:tcW w:w="3147" w:type="dxa"/>
            <w:shd w:val="clear" w:color="auto" w:fill="C6D9F1" w:themeFill="text2" w:themeFillTint="33"/>
            <w:vAlign w:val="bottom"/>
          </w:tcPr>
          <w:p w:rsidR="001B54BC" w:rsidRPr="001B6491" w:rsidRDefault="00316586" w:rsidP="002467CF">
            <w:pPr>
              <w:pStyle w:val="TableText"/>
            </w:pPr>
            <w:proofErr w:type="spellStart"/>
            <w:r>
              <w:t>Gray</w:t>
            </w:r>
            <w:proofErr w:type="spellEnd"/>
          </w:p>
        </w:tc>
        <w:tc>
          <w:tcPr>
            <w:tcW w:w="3240" w:type="dxa"/>
            <w:shd w:val="clear" w:color="auto" w:fill="C6D9F1" w:themeFill="text2" w:themeFillTint="33"/>
            <w:vAlign w:val="bottom"/>
          </w:tcPr>
          <w:p w:rsidR="001B54BC" w:rsidRPr="001B6491" w:rsidRDefault="00316586" w:rsidP="002467CF">
            <w:pPr>
              <w:pStyle w:val="TableNumbers"/>
            </w:pPr>
            <w:r>
              <w:t>3,316</w:t>
            </w:r>
          </w:p>
        </w:tc>
      </w:tr>
      <w:tr w:rsidR="001B54BC" w:rsidRPr="002E42CC" w:rsidTr="00E90ED5">
        <w:trPr>
          <w:jc w:val="center"/>
        </w:trPr>
        <w:tc>
          <w:tcPr>
            <w:tcW w:w="993" w:type="dxa"/>
            <w:shd w:val="clear" w:color="auto" w:fill="8DB3E2" w:themeFill="text2" w:themeFillTint="66"/>
            <w:vAlign w:val="bottom"/>
          </w:tcPr>
          <w:p w:rsidR="001B54BC" w:rsidRDefault="00FB13F6" w:rsidP="002467CF">
            <w:pPr>
              <w:pStyle w:val="TableNumbers"/>
              <w:rPr>
                <w:lang w:eastAsia="en-AU"/>
              </w:rPr>
            </w:pPr>
            <w:r>
              <w:rPr>
                <w:lang w:eastAsia="en-AU"/>
              </w:rPr>
              <w:t>3</w:t>
            </w:r>
          </w:p>
        </w:tc>
        <w:tc>
          <w:tcPr>
            <w:tcW w:w="3147" w:type="dxa"/>
            <w:shd w:val="clear" w:color="auto" w:fill="C6D9F1" w:themeFill="text2" w:themeFillTint="33"/>
            <w:vAlign w:val="bottom"/>
          </w:tcPr>
          <w:p w:rsidR="001B54BC" w:rsidRPr="001B6491" w:rsidRDefault="00316586" w:rsidP="002467CF">
            <w:pPr>
              <w:pStyle w:val="TableText"/>
            </w:pPr>
            <w:r>
              <w:t>Coconut Grove</w:t>
            </w:r>
          </w:p>
        </w:tc>
        <w:tc>
          <w:tcPr>
            <w:tcW w:w="3240" w:type="dxa"/>
            <w:shd w:val="clear" w:color="auto" w:fill="C6D9F1" w:themeFill="text2" w:themeFillTint="33"/>
            <w:vAlign w:val="bottom"/>
          </w:tcPr>
          <w:p w:rsidR="001B54BC" w:rsidRPr="001B6491" w:rsidRDefault="00316586" w:rsidP="002467CF">
            <w:pPr>
              <w:pStyle w:val="TableNumbers"/>
            </w:pPr>
            <w:r>
              <w:t>2,848</w:t>
            </w:r>
          </w:p>
        </w:tc>
      </w:tr>
      <w:tr w:rsidR="001B54BC" w:rsidRPr="002E42CC" w:rsidTr="00E90ED5">
        <w:trPr>
          <w:jc w:val="center"/>
        </w:trPr>
        <w:tc>
          <w:tcPr>
            <w:tcW w:w="993" w:type="dxa"/>
            <w:shd w:val="clear" w:color="auto" w:fill="8DB3E2" w:themeFill="text2" w:themeFillTint="66"/>
            <w:vAlign w:val="bottom"/>
          </w:tcPr>
          <w:p w:rsidR="001B54BC" w:rsidRDefault="00FB13F6" w:rsidP="002467CF">
            <w:pPr>
              <w:pStyle w:val="TableNumbers"/>
              <w:rPr>
                <w:lang w:eastAsia="en-AU"/>
              </w:rPr>
            </w:pPr>
            <w:r>
              <w:rPr>
                <w:lang w:eastAsia="en-AU"/>
              </w:rPr>
              <w:t>4</w:t>
            </w:r>
          </w:p>
        </w:tc>
        <w:tc>
          <w:tcPr>
            <w:tcW w:w="3147" w:type="dxa"/>
            <w:shd w:val="clear" w:color="auto" w:fill="C6D9F1" w:themeFill="text2" w:themeFillTint="33"/>
            <w:vAlign w:val="bottom"/>
          </w:tcPr>
          <w:p w:rsidR="001B54BC" w:rsidRDefault="00316586" w:rsidP="002467CF">
            <w:pPr>
              <w:pStyle w:val="TableText"/>
            </w:pPr>
            <w:r>
              <w:t>Karama</w:t>
            </w:r>
          </w:p>
        </w:tc>
        <w:tc>
          <w:tcPr>
            <w:tcW w:w="3240" w:type="dxa"/>
            <w:shd w:val="clear" w:color="auto" w:fill="C6D9F1" w:themeFill="text2" w:themeFillTint="33"/>
            <w:vAlign w:val="bottom"/>
          </w:tcPr>
          <w:p w:rsidR="001B54BC" w:rsidRDefault="00316586" w:rsidP="002467CF">
            <w:pPr>
              <w:pStyle w:val="TableNumbers"/>
            </w:pPr>
            <w:r>
              <w:t>4,842</w:t>
            </w:r>
          </w:p>
        </w:tc>
      </w:tr>
      <w:tr w:rsidR="001B54BC" w:rsidRPr="002E42CC" w:rsidTr="00E90ED5">
        <w:trPr>
          <w:jc w:val="center"/>
        </w:trPr>
        <w:tc>
          <w:tcPr>
            <w:tcW w:w="993" w:type="dxa"/>
            <w:shd w:val="clear" w:color="auto" w:fill="8DB3E2" w:themeFill="text2" w:themeFillTint="66"/>
            <w:vAlign w:val="bottom"/>
          </w:tcPr>
          <w:p w:rsidR="001B54BC" w:rsidRDefault="00FB13F6" w:rsidP="002467CF">
            <w:pPr>
              <w:pStyle w:val="TableNumbers"/>
              <w:rPr>
                <w:lang w:eastAsia="en-AU"/>
              </w:rPr>
            </w:pPr>
            <w:r>
              <w:rPr>
                <w:lang w:eastAsia="en-AU"/>
              </w:rPr>
              <w:t>5</w:t>
            </w:r>
          </w:p>
        </w:tc>
        <w:tc>
          <w:tcPr>
            <w:tcW w:w="3147" w:type="dxa"/>
            <w:shd w:val="clear" w:color="auto" w:fill="C6D9F1" w:themeFill="text2" w:themeFillTint="33"/>
            <w:vAlign w:val="bottom"/>
          </w:tcPr>
          <w:p w:rsidR="001B54BC" w:rsidRDefault="00316586" w:rsidP="002467CF">
            <w:pPr>
              <w:pStyle w:val="TableText"/>
            </w:pPr>
            <w:r>
              <w:t>Weddell</w:t>
            </w:r>
          </w:p>
        </w:tc>
        <w:tc>
          <w:tcPr>
            <w:tcW w:w="3240" w:type="dxa"/>
            <w:shd w:val="clear" w:color="auto" w:fill="C6D9F1" w:themeFill="text2" w:themeFillTint="33"/>
            <w:vAlign w:val="bottom"/>
          </w:tcPr>
          <w:p w:rsidR="001B54BC" w:rsidRDefault="00316586" w:rsidP="002467CF">
            <w:pPr>
              <w:pStyle w:val="TableNumbers"/>
            </w:pPr>
            <w:r>
              <w:t>3,645</w:t>
            </w:r>
          </w:p>
        </w:tc>
      </w:tr>
    </w:tbl>
    <w:p w:rsidR="002467CF" w:rsidRDefault="002467CF" w:rsidP="002467CF"/>
    <w:p w:rsidR="00E90ED5" w:rsidRPr="00F9553F" w:rsidRDefault="00E90ED5" w:rsidP="00E90ED5">
      <w:pPr>
        <w:pStyle w:val="ListParagraph"/>
        <w:numPr>
          <w:ilvl w:val="0"/>
          <w:numId w:val="6"/>
        </w:numPr>
        <w:ind w:left="357" w:hanging="357"/>
        <w:outlineLvl w:val="0"/>
        <w:rPr>
          <w:rFonts w:cs="Arial"/>
          <w:b/>
          <w:bCs/>
          <w:color w:val="4F81BD" w:themeColor="accent1"/>
          <w:sz w:val="18"/>
          <w:szCs w:val="18"/>
        </w:rPr>
      </w:pPr>
      <w:r w:rsidRPr="00AC2091">
        <w:rPr>
          <w:rFonts w:cs="Arial"/>
          <w:b/>
          <w:color w:val="4F81BD" w:themeColor="accent1"/>
          <w:sz w:val="18"/>
          <w:szCs w:val="18"/>
        </w:rPr>
        <w:t xml:space="preserve">The Index of Relative Socio-Economic Advantage and Disadvantage (IRSAD) summarises variables that indicate either relative advantage or disadvantage.  This index ranks areas on a continuum from most disadvantaged to most </w:t>
      </w:r>
      <w:proofErr w:type="gramStart"/>
      <w:r w:rsidRPr="00AC2091">
        <w:rPr>
          <w:rFonts w:cs="Arial"/>
          <w:b/>
          <w:color w:val="4F81BD" w:themeColor="accent1"/>
          <w:sz w:val="18"/>
          <w:szCs w:val="18"/>
        </w:rPr>
        <w:t>advantaged</w:t>
      </w:r>
      <w:proofErr w:type="gramEnd"/>
      <w:r w:rsidRPr="00AC2091">
        <w:rPr>
          <w:rFonts w:cs="Arial"/>
          <w:b/>
          <w:color w:val="4F81BD" w:themeColor="accent1"/>
          <w:sz w:val="18"/>
          <w:szCs w:val="18"/>
        </w:rPr>
        <w:t>.</w:t>
      </w:r>
    </w:p>
    <w:p w:rsidR="00E90ED5" w:rsidRPr="00F9553F" w:rsidRDefault="00E90ED5" w:rsidP="00E90ED5">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 xml:space="preserve">For the purposes of </w:t>
      </w:r>
      <w:r w:rsidRPr="00492758">
        <w:rPr>
          <w:rFonts w:cs="Arial"/>
          <w:b/>
          <w:color w:val="4F81BD" w:themeColor="accent1"/>
          <w:sz w:val="18"/>
          <w:szCs w:val="18"/>
        </w:rPr>
        <w:t>Socio-Economic Indexes for Areas</w:t>
      </w:r>
      <w:r>
        <w:rPr>
          <w:rFonts w:cs="Arial"/>
          <w:b/>
          <w:color w:val="4F81BD" w:themeColor="accent1"/>
          <w:sz w:val="18"/>
          <w:szCs w:val="18"/>
        </w:rPr>
        <w:t xml:space="preserve"> (SEIFA), the ABS defines relative socio-economic advantage and disadvantage in terms of people’s access to material and social resources, and their ability to participate in society.</w:t>
      </w:r>
    </w:p>
    <w:p w:rsidR="000555A8" w:rsidRPr="00B05A86" w:rsidRDefault="000555A8" w:rsidP="000555A8">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 xml:space="preserve">Statistical Areas Level 2 (SA2s) </w:t>
      </w:r>
      <w:proofErr w:type="gramStart"/>
      <w:r>
        <w:rPr>
          <w:rFonts w:cs="Arial"/>
          <w:b/>
          <w:color w:val="4F81BD" w:themeColor="accent1"/>
          <w:sz w:val="18"/>
          <w:szCs w:val="18"/>
        </w:rPr>
        <w:t>are</w:t>
      </w:r>
      <w:proofErr w:type="gramEnd"/>
      <w:r>
        <w:rPr>
          <w:rFonts w:cs="Arial"/>
          <w:b/>
          <w:color w:val="4F81BD" w:themeColor="accent1"/>
          <w:sz w:val="18"/>
          <w:szCs w:val="18"/>
        </w:rPr>
        <w:t xml:space="preserve"> medium-sized general purpose areas built up from whole Statistical Areas Level 1 (SA1s), which cover all of Australia.  Their aim is to represent a community that interacts together socially and economically.</w:t>
      </w:r>
    </w:p>
    <w:p w:rsidR="000555A8" w:rsidRPr="00B05A86" w:rsidRDefault="000555A8" w:rsidP="000555A8">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SA2s have an average population of around 10,000 people.  In urban areas SA2s generally reflect 1 or more gazetted suburbs.  Large suburbs may be split into multiple SA2s.  In regional areas, one or more SA2s represent a regional centre and the area it services.</w:t>
      </w:r>
    </w:p>
    <w:p w:rsidR="000555A8" w:rsidRPr="00F9553F" w:rsidRDefault="000555A8" w:rsidP="000555A8">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While SA2s can be referred to generally as areas, they should not be referred to as suburbs or LGAs.</w:t>
      </w:r>
    </w:p>
    <w:p w:rsidR="00E90ED5" w:rsidRPr="00F9553F" w:rsidRDefault="00E90ED5" w:rsidP="00E90ED5">
      <w:pPr>
        <w:pStyle w:val="ListParagraph"/>
        <w:numPr>
          <w:ilvl w:val="0"/>
          <w:numId w:val="6"/>
        </w:numPr>
        <w:ind w:left="357" w:hanging="357"/>
        <w:outlineLvl w:val="0"/>
        <w:rPr>
          <w:rFonts w:cs="Arial"/>
          <w:b/>
          <w:bCs/>
          <w:color w:val="4F81BD" w:themeColor="accent1"/>
          <w:sz w:val="18"/>
          <w:szCs w:val="18"/>
        </w:rPr>
      </w:pPr>
      <w:r>
        <w:rPr>
          <w:rFonts w:cs="Arial"/>
          <w:b/>
          <w:color w:val="4F81BD" w:themeColor="accent1"/>
          <w:sz w:val="18"/>
          <w:szCs w:val="18"/>
        </w:rPr>
        <w:t xml:space="preserve">SEIFA is primarily a tool for investigating the relative advantage and disadvantage of areas at a point in time.  Comparing changes over time is </w:t>
      </w:r>
      <w:proofErr w:type="gramStart"/>
      <w:r>
        <w:rPr>
          <w:rFonts w:cs="Arial"/>
          <w:b/>
          <w:color w:val="4F81BD" w:themeColor="accent1"/>
          <w:sz w:val="18"/>
          <w:szCs w:val="18"/>
        </w:rPr>
        <w:t>possible,</w:t>
      </w:r>
      <w:proofErr w:type="gramEnd"/>
      <w:r>
        <w:rPr>
          <w:rFonts w:cs="Arial"/>
          <w:b/>
          <w:color w:val="4F81BD" w:themeColor="accent1"/>
          <w:sz w:val="18"/>
          <w:szCs w:val="18"/>
        </w:rPr>
        <w:t xml:space="preserve"> however these types of analysis can be difficult to interpret correctly.  SEIFA is a relative measure and therefore provides no information on changes over time at a national level.</w:t>
      </w:r>
    </w:p>
    <w:p w:rsidR="00B75969" w:rsidRDefault="00B75969" w:rsidP="005C1987">
      <w:pPr>
        <w:pStyle w:val="ListParagraph"/>
        <w:ind w:left="357"/>
        <w:outlineLvl w:val="0"/>
        <w:rPr>
          <w:rFonts w:cs="Arial"/>
          <w:b/>
          <w:bCs/>
          <w:color w:val="4181C0"/>
          <w:sz w:val="18"/>
          <w:szCs w:val="18"/>
        </w:rPr>
      </w:pPr>
    </w:p>
    <w:sectPr w:rsidR="00B75969" w:rsidSect="002467CF">
      <w:headerReference w:type="default" r:id="rId9"/>
      <w:footerReference w:type="default" r:id="rId10"/>
      <w:type w:val="continuous"/>
      <w:pgSz w:w="11906" w:h="16838"/>
      <w:pgMar w:top="3402"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75" w:rsidRDefault="00E31375" w:rsidP="00FB2000">
      <w:pPr>
        <w:spacing w:after="0" w:line="240" w:lineRule="auto"/>
      </w:pPr>
      <w:r>
        <w:separator/>
      </w:r>
    </w:p>
  </w:endnote>
  <w:endnote w:type="continuationSeparator" w:id="0">
    <w:p w:rsidR="00E31375" w:rsidRDefault="00E31375" w:rsidP="00FB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75" w:rsidRDefault="00E31375">
    <w:pPr>
      <w:pStyle w:val="Footer"/>
    </w:pPr>
    <w:r>
      <w:rPr>
        <w:noProof/>
        <w:lang w:eastAsia="en-AU"/>
      </w:rPr>
      <w:drawing>
        <wp:anchor distT="0" distB="0" distL="114300" distR="114300" simplePos="0" relativeHeight="251659264" behindDoc="1" locked="0" layoutInCell="1" allowOverlap="1" wp14:anchorId="13E0C0AD" wp14:editId="304C58E8">
          <wp:simplePos x="0" y="0"/>
          <wp:positionH relativeFrom="column">
            <wp:posOffset>-925902</wp:posOffset>
          </wp:positionH>
          <wp:positionV relativeFrom="paragraph">
            <wp:posOffset>-449759</wp:posOffset>
          </wp:positionV>
          <wp:extent cx="7565366" cy="12390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5366" cy="1239052"/>
                  </a:xfrm>
                  <a:prstGeom prst="rect">
                    <a:avLst/>
                  </a:prstGeom>
                </pic:spPr>
              </pic:pic>
            </a:graphicData>
          </a:graphic>
          <wp14:sizeRelH relativeFrom="page">
            <wp14:pctWidth>0</wp14:pctWidth>
          </wp14:sizeRelH>
          <wp14:sizeRelV relativeFrom="page">
            <wp14:pctHeight>0</wp14:pctHeight>
          </wp14:sizeRelV>
        </wp:anchor>
      </w:drawing>
    </w:r>
  </w:p>
  <w:p w:rsidR="00E31375" w:rsidRDefault="00E31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75" w:rsidRDefault="00E31375" w:rsidP="00FB2000">
      <w:pPr>
        <w:spacing w:after="0" w:line="240" w:lineRule="auto"/>
      </w:pPr>
      <w:r>
        <w:separator/>
      </w:r>
    </w:p>
  </w:footnote>
  <w:footnote w:type="continuationSeparator" w:id="0">
    <w:p w:rsidR="00E31375" w:rsidRDefault="00E31375" w:rsidP="00FB2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75" w:rsidRDefault="00E31375">
    <w:pPr>
      <w:pStyle w:val="Header"/>
    </w:pPr>
    <w:r>
      <w:rPr>
        <w:noProof/>
        <w:lang w:eastAsia="en-AU"/>
      </w:rPr>
      <w:drawing>
        <wp:anchor distT="0" distB="0" distL="114300" distR="114300" simplePos="0" relativeHeight="251660288" behindDoc="1" locked="0" layoutInCell="1" allowOverlap="1" wp14:anchorId="40037D49" wp14:editId="60EA342E">
          <wp:simplePos x="0" y="0"/>
          <wp:positionH relativeFrom="column">
            <wp:posOffset>-910269</wp:posOffset>
          </wp:positionH>
          <wp:positionV relativeFrom="paragraph">
            <wp:posOffset>-458470</wp:posOffset>
          </wp:positionV>
          <wp:extent cx="7548113" cy="20789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48113" cy="2078966"/>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A</w:t>
    </w:r>
  </w:p>
  <w:p w:rsidR="00E31375" w:rsidRDefault="00E31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526"/>
    <w:multiLevelType w:val="hybridMultilevel"/>
    <w:tmpl w:val="D7CE9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D272E0"/>
    <w:multiLevelType w:val="hybridMultilevel"/>
    <w:tmpl w:val="DA5EC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522569"/>
    <w:multiLevelType w:val="hybridMultilevel"/>
    <w:tmpl w:val="1CDA40E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3">
    <w:nsid w:val="1C691708"/>
    <w:multiLevelType w:val="hybridMultilevel"/>
    <w:tmpl w:val="6E203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F3579D"/>
    <w:multiLevelType w:val="hybridMultilevel"/>
    <w:tmpl w:val="BA1A1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3B27DA"/>
    <w:multiLevelType w:val="hybridMultilevel"/>
    <w:tmpl w:val="4378B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937848"/>
    <w:multiLevelType w:val="hybridMultilevel"/>
    <w:tmpl w:val="5942D4AC"/>
    <w:lvl w:ilvl="0" w:tplc="0C090001">
      <w:start w:val="1"/>
      <w:numFmt w:val="bullet"/>
      <w:lvlText w:val=""/>
      <w:lvlJc w:val="left"/>
      <w:pPr>
        <w:ind w:left="366" w:hanging="360"/>
      </w:pPr>
      <w:rPr>
        <w:rFonts w:ascii="Symbol" w:hAnsi="Symbol" w:hint="default"/>
      </w:rPr>
    </w:lvl>
    <w:lvl w:ilvl="1" w:tplc="0C090003">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7">
    <w:nsid w:val="4A2A75DD"/>
    <w:multiLevelType w:val="hybridMultilevel"/>
    <w:tmpl w:val="D6A0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A60165"/>
    <w:multiLevelType w:val="hybridMultilevel"/>
    <w:tmpl w:val="4864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8124D3"/>
    <w:multiLevelType w:val="hybridMultilevel"/>
    <w:tmpl w:val="E86A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2715C8"/>
    <w:multiLevelType w:val="hybridMultilevel"/>
    <w:tmpl w:val="9292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B158E"/>
    <w:multiLevelType w:val="hybridMultilevel"/>
    <w:tmpl w:val="1C3A271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1"/>
  </w:num>
  <w:num w:numId="6">
    <w:abstractNumId w:val="6"/>
  </w:num>
  <w:num w:numId="7">
    <w:abstractNumId w:val="9"/>
  </w:num>
  <w:num w:numId="8">
    <w:abstractNumId w:val="3"/>
  </w:num>
  <w:num w:numId="9">
    <w:abstractNumId w:val="1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21"/>
    <w:rsid w:val="00002FF8"/>
    <w:rsid w:val="00010853"/>
    <w:rsid w:val="00011BBB"/>
    <w:rsid w:val="00023160"/>
    <w:rsid w:val="00041104"/>
    <w:rsid w:val="0004210F"/>
    <w:rsid w:val="000440A8"/>
    <w:rsid w:val="000441B9"/>
    <w:rsid w:val="00047BD3"/>
    <w:rsid w:val="000555A8"/>
    <w:rsid w:val="00072012"/>
    <w:rsid w:val="000772DD"/>
    <w:rsid w:val="0009008F"/>
    <w:rsid w:val="00091772"/>
    <w:rsid w:val="000A0AA0"/>
    <w:rsid w:val="000B0EEA"/>
    <w:rsid w:val="000B6B37"/>
    <w:rsid w:val="000C3003"/>
    <w:rsid w:val="000E4CF8"/>
    <w:rsid w:val="000E619A"/>
    <w:rsid w:val="000F0542"/>
    <w:rsid w:val="00111BBC"/>
    <w:rsid w:val="00120DC1"/>
    <w:rsid w:val="001222EF"/>
    <w:rsid w:val="0012464C"/>
    <w:rsid w:val="00125798"/>
    <w:rsid w:val="00126662"/>
    <w:rsid w:val="00127D75"/>
    <w:rsid w:val="00142FDA"/>
    <w:rsid w:val="00170BAE"/>
    <w:rsid w:val="00195295"/>
    <w:rsid w:val="001A320D"/>
    <w:rsid w:val="001A40A3"/>
    <w:rsid w:val="001B4E57"/>
    <w:rsid w:val="001B54BC"/>
    <w:rsid w:val="001B6491"/>
    <w:rsid w:val="001C3BDA"/>
    <w:rsid w:val="001C5AD9"/>
    <w:rsid w:val="001D5700"/>
    <w:rsid w:val="00200A52"/>
    <w:rsid w:val="0020307F"/>
    <w:rsid w:val="002236FF"/>
    <w:rsid w:val="0022622A"/>
    <w:rsid w:val="00233455"/>
    <w:rsid w:val="0023602E"/>
    <w:rsid w:val="002467CF"/>
    <w:rsid w:val="0027431A"/>
    <w:rsid w:val="00274B25"/>
    <w:rsid w:val="00276567"/>
    <w:rsid w:val="0028449E"/>
    <w:rsid w:val="002A47EB"/>
    <w:rsid w:val="002C53F7"/>
    <w:rsid w:val="002C574F"/>
    <w:rsid w:val="002D4CEE"/>
    <w:rsid w:val="002E398F"/>
    <w:rsid w:val="002E495F"/>
    <w:rsid w:val="002E7BD6"/>
    <w:rsid w:val="002F75D9"/>
    <w:rsid w:val="00316586"/>
    <w:rsid w:val="00323396"/>
    <w:rsid w:val="00323637"/>
    <w:rsid w:val="00336FAE"/>
    <w:rsid w:val="00343E6A"/>
    <w:rsid w:val="00344F14"/>
    <w:rsid w:val="003504A3"/>
    <w:rsid w:val="00351CE8"/>
    <w:rsid w:val="00357B09"/>
    <w:rsid w:val="00363981"/>
    <w:rsid w:val="003836C7"/>
    <w:rsid w:val="003A2470"/>
    <w:rsid w:val="003E5360"/>
    <w:rsid w:val="003E7905"/>
    <w:rsid w:val="003F1FA6"/>
    <w:rsid w:val="0040658F"/>
    <w:rsid w:val="00414231"/>
    <w:rsid w:val="00430AF6"/>
    <w:rsid w:val="00433831"/>
    <w:rsid w:val="00440A8C"/>
    <w:rsid w:val="00442F63"/>
    <w:rsid w:val="00453A95"/>
    <w:rsid w:val="004752F8"/>
    <w:rsid w:val="004B1834"/>
    <w:rsid w:val="004B24E6"/>
    <w:rsid w:val="004F0023"/>
    <w:rsid w:val="004F6C2F"/>
    <w:rsid w:val="00501823"/>
    <w:rsid w:val="00507121"/>
    <w:rsid w:val="0051406F"/>
    <w:rsid w:val="00520693"/>
    <w:rsid w:val="00531ECF"/>
    <w:rsid w:val="0054273D"/>
    <w:rsid w:val="0056133B"/>
    <w:rsid w:val="00576A85"/>
    <w:rsid w:val="00577B41"/>
    <w:rsid w:val="00584AA0"/>
    <w:rsid w:val="00594664"/>
    <w:rsid w:val="00597CBE"/>
    <w:rsid w:val="005A095B"/>
    <w:rsid w:val="005C1188"/>
    <w:rsid w:val="005C1987"/>
    <w:rsid w:val="005C397A"/>
    <w:rsid w:val="005D2C2E"/>
    <w:rsid w:val="00604ABE"/>
    <w:rsid w:val="0062023C"/>
    <w:rsid w:val="006250FC"/>
    <w:rsid w:val="00631117"/>
    <w:rsid w:val="00677868"/>
    <w:rsid w:val="006A7683"/>
    <w:rsid w:val="006B4BFF"/>
    <w:rsid w:val="006E0FBB"/>
    <w:rsid w:val="006E1414"/>
    <w:rsid w:val="00702C83"/>
    <w:rsid w:val="007139A3"/>
    <w:rsid w:val="007252AC"/>
    <w:rsid w:val="00725F51"/>
    <w:rsid w:val="00726F2A"/>
    <w:rsid w:val="00732798"/>
    <w:rsid w:val="00732895"/>
    <w:rsid w:val="00740DF9"/>
    <w:rsid w:val="00742EC1"/>
    <w:rsid w:val="007647FC"/>
    <w:rsid w:val="00790381"/>
    <w:rsid w:val="00793493"/>
    <w:rsid w:val="007B610E"/>
    <w:rsid w:val="007C03FB"/>
    <w:rsid w:val="007E6A5B"/>
    <w:rsid w:val="00801691"/>
    <w:rsid w:val="008221E1"/>
    <w:rsid w:val="00830BD8"/>
    <w:rsid w:val="0085196E"/>
    <w:rsid w:val="008522F8"/>
    <w:rsid w:val="0086170F"/>
    <w:rsid w:val="00864EA7"/>
    <w:rsid w:val="00871E13"/>
    <w:rsid w:val="00891224"/>
    <w:rsid w:val="008A5EE9"/>
    <w:rsid w:val="008B2ACC"/>
    <w:rsid w:val="008B58A5"/>
    <w:rsid w:val="008C017D"/>
    <w:rsid w:val="008C1667"/>
    <w:rsid w:val="008E0EC8"/>
    <w:rsid w:val="009135CC"/>
    <w:rsid w:val="00913D3B"/>
    <w:rsid w:val="0091653E"/>
    <w:rsid w:val="0092014E"/>
    <w:rsid w:val="00936274"/>
    <w:rsid w:val="00964903"/>
    <w:rsid w:val="00974250"/>
    <w:rsid w:val="0097689F"/>
    <w:rsid w:val="00980426"/>
    <w:rsid w:val="009A0023"/>
    <w:rsid w:val="009A020D"/>
    <w:rsid w:val="009C247B"/>
    <w:rsid w:val="009D6D94"/>
    <w:rsid w:val="00A01242"/>
    <w:rsid w:val="00A10AA7"/>
    <w:rsid w:val="00A11293"/>
    <w:rsid w:val="00A33AD5"/>
    <w:rsid w:val="00A43D36"/>
    <w:rsid w:val="00A47696"/>
    <w:rsid w:val="00A517E5"/>
    <w:rsid w:val="00A57632"/>
    <w:rsid w:val="00A63EE1"/>
    <w:rsid w:val="00A833A0"/>
    <w:rsid w:val="00AE73AE"/>
    <w:rsid w:val="00AF1C8C"/>
    <w:rsid w:val="00B01E2F"/>
    <w:rsid w:val="00B03C56"/>
    <w:rsid w:val="00B27D30"/>
    <w:rsid w:val="00B30A3F"/>
    <w:rsid w:val="00B53321"/>
    <w:rsid w:val="00B5694C"/>
    <w:rsid w:val="00B63DE0"/>
    <w:rsid w:val="00B750A3"/>
    <w:rsid w:val="00B75969"/>
    <w:rsid w:val="00B80E78"/>
    <w:rsid w:val="00B82E86"/>
    <w:rsid w:val="00B83D07"/>
    <w:rsid w:val="00B84AA5"/>
    <w:rsid w:val="00B933A7"/>
    <w:rsid w:val="00BA68D1"/>
    <w:rsid w:val="00BF1EC3"/>
    <w:rsid w:val="00BF46A5"/>
    <w:rsid w:val="00C06AF4"/>
    <w:rsid w:val="00C07C7D"/>
    <w:rsid w:val="00C274AF"/>
    <w:rsid w:val="00C46225"/>
    <w:rsid w:val="00C519A1"/>
    <w:rsid w:val="00C6641B"/>
    <w:rsid w:val="00C7399C"/>
    <w:rsid w:val="00C8138B"/>
    <w:rsid w:val="00C822BA"/>
    <w:rsid w:val="00C86BAA"/>
    <w:rsid w:val="00CB16F9"/>
    <w:rsid w:val="00CB6A4A"/>
    <w:rsid w:val="00CC6DCB"/>
    <w:rsid w:val="00CD0C2E"/>
    <w:rsid w:val="00CD1E23"/>
    <w:rsid w:val="00CE1624"/>
    <w:rsid w:val="00CF489B"/>
    <w:rsid w:val="00D0532D"/>
    <w:rsid w:val="00D165B0"/>
    <w:rsid w:val="00D22E8F"/>
    <w:rsid w:val="00D24529"/>
    <w:rsid w:val="00D2772C"/>
    <w:rsid w:val="00D314BC"/>
    <w:rsid w:val="00D413DF"/>
    <w:rsid w:val="00D448C6"/>
    <w:rsid w:val="00D44E29"/>
    <w:rsid w:val="00D52E88"/>
    <w:rsid w:val="00D6245D"/>
    <w:rsid w:val="00D6477B"/>
    <w:rsid w:val="00D6793E"/>
    <w:rsid w:val="00D877FC"/>
    <w:rsid w:val="00D96A8E"/>
    <w:rsid w:val="00D96DC9"/>
    <w:rsid w:val="00DB7F2F"/>
    <w:rsid w:val="00DC64A0"/>
    <w:rsid w:val="00DE3C33"/>
    <w:rsid w:val="00DE547A"/>
    <w:rsid w:val="00E27405"/>
    <w:rsid w:val="00E31375"/>
    <w:rsid w:val="00E640DC"/>
    <w:rsid w:val="00E714A4"/>
    <w:rsid w:val="00E7764E"/>
    <w:rsid w:val="00E836B6"/>
    <w:rsid w:val="00E85F97"/>
    <w:rsid w:val="00E8695A"/>
    <w:rsid w:val="00E90ED5"/>
    <w:rsid w:val="00E93143"/>
    <w:rsid w:val="00EA1905"/>
    <w:rsid w:val="00EC5711"/>
    <w:rsid w:val="00ED1BBF"/>
    <w:rsid w:val="00F03BAB"/>
    <w:rsid w:val="00F86539"/>
    <w:rsid w:val="00FB13F6"/>
    <w:rsid w:val="00FB2000"/>
    <w:rsid w:val="00FE4111"/>
    <w:rsid w:val="00FF2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42"/>
    <w:pPr>
      <w:spacing w:after="120"/>
    </w:pPr>
    <w:rPr>
      <w:rFonts w:ascii="Arial" w:hAnsi="Arial"/>
      <w:sz w:val="20"/>
    </w:rPr>
  </w:style>
  <w:style w:type="paragraph" w:styleId="Heading1">
    <w:name w:val="heading 1"/>
    <w:basedOn w:val="Normal"/>
    <w:next w:val="Normal"/>
    <w:link w:val="Heading1Char"/>
    <w:uiPriority w:val="9"/>
    <w:qFormat/>
    <w:rsid w:val="00D52E88"/>
    <w:pPr>
      <w:spacing w:after="280" w:line="240" w:lineRule="auto"/>
      <w:contextualSpacing/>
      <w:jc w:val="center"/>
      <w:outlineLvl w:val="0"/>
    </w:pPr>
    <w:rPr>
      <w:rFonts w:cs="Arial"/>
      <w:b/>
      <w:sz w:val="32"/>
      <w:szCs w:val="32"/>
    </w:rPr>
  </w:style>
  <w:style w:type="paragraph" w:styleId="Heading2">
    <w:name w:val="heading 2"/>
    <w:basedOn w:val="Normal"/>
    <w:next w:val="Normal"/>
    <w:link w:val="Heading2Char"/>
    <w:uiPriority w:val="9"/>
    <w:unhideWhenUsed/>
    <w:qFormat/>
    <w:rsid w:val="00DC64A0"/>
    <w:pPr>
      <w:spacing w:after="0" w:line="240" w:lineRule="auto"/>
      <w:jc w:val="center"/>
      <w:outlineLvl w:val="1"/>
    </w:pPr>
    <w:rPr>
      <w:rFonts w:cs="Arial"/>
      <w:b/>
      <w:sz w:val="28"/>
      <w:szCs w:val="28"/>
    </w:rPr>
  </w:style>
  <w:style w:type="paragraph" w:styleId="Heading3">
    <w:name w:val="heading 3"/>
    <w:basedOn w:val="Normal"/>
    <w:next w:val="Normal"/>
    <w:link w:val="Heading3Char"/>
    <w:uiPriority w:val="9"/>
    <w:unhideWhenUsed/>
    <w:qFormat/>
    <w:rsid w:val="00DC64A0"/>
    <w:pPr>
      <w:spacing w:before="240" w:line="240" w:lineRule="auto"/>
      <w:jc w:val="center"/>
      <w:outlineLvl w:val="2"/>
    </w:pPr>
    <w:rPr>
      <w:rFonts w:eastAsia="Times New Roman" w:cs="Arial"/>
      <w:b/>
      <w:color w:val="000000"/>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000"/>
  </w:style>
  <w:style w:type="paragraph" w:styleId="Footer">
    <w:name w:val="footer"/>
    <w:basedOn w:val="Normal"/>
    <w:link w:val="FooterChar"/>
    <w:uiPriority w:val="99"/>
    <w:unhideWhenUsed/>
    <w:rsid w:val="00FB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000"/>
  </w:style>
  <w:style w:type="paragraph" w:styleId="BalloonText">
    <w:name w:val="Balloon Text"/>
    <w:basedOn w:val="Normal"/>
    <w:link w:val="BalloonTextChar"/>
    <w:uiPriority w:val="99"/>
    <w:semiHidden/>
    <w:unhideWhenUsed/>
    <w:rsid w:val="00FB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000"/>
    <w:rPr>
      <w:rFonts w:ascii="Tahoma" w:hAnsi="Tahoma" w:cs="Tahoma"/>
      <w:sz w:val="16"/>
      <w:szCs w:val="16"/>
    </w:rPr>
  </w:style>
  <w:style w:type="table" w:styleId="TableGrid">
    <w:name w:val="Table Grid"/>
    <w:basedOn w:val="TableNormal"/>
    <w:uiPriority w:val="59"/>
    <w:rsid w:val="00507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121"/>
    <w:pPr>
      <w:ind w:left="720"/>
      <w:contextualSpacing/>
    </w:pPr>
  </w:style>
  <w:style w:type="character" w:customStyle="1" w:styleId="left">
    <w:name w:val="left"/>
    <w:basedOn w:val="DefaultParagraphFont"/>
    <w:rsid w:val="00A10AA7"/>
  </w:style>
  <w:style w:type="character" w:customStyle="1" w:styleId="Heading1Char">
    <w:name w:val="Heading 1 Char"/>
    <w:basedOn w:val="DefaultParagraphFont"/>
    <w:link w:val="Heading1"/>
    <w:uiPriority w:val="9"/>
    <w:rsid w:val="00D52E88"/>
    <w:rPr>
      <w:rFonts w:ascii="Arial" w:hAnsi="Arial" w:cs="Arial"/>
      <w:b/>
      <w:sz w:val="32"/>
      <w:szCs w:val="32"/>
    </w:rPr>
  </w:style>
  <w:style w:type="character" w:customStyle="1" w:styleId="Heading2Char">
    <w:name w:val="Heading 2 Char"/>
    <w:basedOn w:val="DefaultParagraphFont"/>
    <w:link w:val="Heading2"/>
    <w:uiPriority w:val="9"/>
    <w:rsid w:val="00DC64A0"/>
    <w:rPr>
      <w:rFonts w:ascii="Arial" w:hAnsi="Arial" w:cs="Arial"/>
      <w:b/>
      <w:sz w:val="28"/>
      <w:szCs w:val="28"/>
    </w:rPr>
  </w:style>
  <w:style w:type="character" w:customStyle="1" w:styleId="Heading3Char">
    <w:name w:val="Heading 3 Char"/>
    <w:basedOn w:val="DefaultParagraphFont"/>
    <w:link w:val="Heading3"/>
    <w:uiPriority w:val="9"/>
    <w:rsid w:val="00DC64A0"/>
    <w:rPr>
      <w:rFonts w:ascii="Arial" w:eastAsia="Times New Roman" w:hAnsi="Arial" w:cs="Arial"/>
      <w:b/>
      <w:color w:val="000000"/>
      <w:sz w:val="24"/>
      <w:szCs w:val="28"/>
      <w:lang w:eastAsia="en-AU"/>
    </w:rPr>
  </w:style>
  <w:style w:type="paragraph" w:customStyle="1" w:styleId="TableNumbers">
    <w:name w:val="TableNumbers"/>
    <w:basedOn w:val="TableText"/>
    <w:qFormat/>
    <w:rsid w:val="00A01242"/>
    <w:pPr>
      <w:jc w:val="right"/>
    </w:pPr>
  </w:style>
  <w:style w:type="paragraph" w:customStyle="1" w:styleId="TableText">
    <w:name w:val="TableText"/>
    <w:basedOn w:val="Normal"/>
    <w:qFormat/>
    <w:rsid w:val="00A01242"/>
    <w:pPr>
      <w:spacing w:after="0" w:line="240" w:lineRule="auto"/>
    </w:pPr>
    <w:rPr>
      <w:rFonts w:cs="Arial"/>
      <w:color w:val="000000"/>
      <w:sz w:val="18"/>
      <w:szCs w:val="18"/>
    </w:rPr>
  </w:style>
  <w:style w:type="paragraph" w:customStyle="1" w:styleId="TableHeading">
    <w:name w:val="TableHeading"/>
    <w:basedOn w:val="Normal"/>
    <w:qFormat/>
    <w:rsid w:val="009A020D"/>
    <w:pPr>
      <w:spacing w:before="40" w:after="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42"/>
    <w:pPr>
      <w:spacing w:after="120"/>
    </w:pPr>
    <w:rPr>
      <w:rFonts w:ascii="Arial" w:hAnsi="Arial"/>
      <w:sz w:val="20"/>
    </w:rPr>
  </w:style>
  <w:style w:type="paragraph" w:styleId="Heading1">
    <w:name w:val="heading 1"/>
    <w:basedOn w:val="Normal"/>
    <w:next w:val="Normal"/>
    <w:link w:val="Heading1Char"/>
    <w:uiPriority w:val="9"/>
    <w:qFormat/>
    <w:rsid w:val="00D52E88"/>
    <w:pPr>
      <w:spacing w:after="280" w:line="240" w:lineRule="auto"/>
      <w:contextualSpacing/>
      <w:jc w:val="center"/>
      <w:outlineLvl w:val="0"/>
    </w:pPr>
    <w:rPr>
      <w:rFonts w:cs="Arial"/>
      <w:b/>
      <w:sz w:val="32"/>
      <w:szCs w:val="32"/>
    </w:rPr>
  </w:style>
  <w:style w:type="paragraph" w:styleId="Heading2">
    <w:name w:val="heading 2"/>
    <w:basedOn w:val="Normal"/>
    <w:next w:val="Normal"/>
    <w:link w:val="Heading2Char"/>
    <w:uiPriority w:val="9"/>
    <w:unhideWhenUsed/>
    <w:qFormat/>
    <w:rsid w:val="00DC64A0"/>
    <w:pPr>
      <w:spacing w:after="0" w:line="240" w:lineRule="auto"/>
      <w:jc w:val="center"/>
      <w:outlineLvl w:val="1"/>
    </w:pPr>
    <w:rPr>
      <w:rFonts w:cs="Arial"/>
      <w:b/>
      <w:sz w:val="28"/>
      <w:szCs w:val="28"/>
    </w:rPr>
  </w:style>
  <w:style w:type="paragraph" w:styleId="Heading3">
    <w:name w:val="heading 3"/>
    <w:basedOn w:val="Normal"/>
    <w:next w:val="Normal"/>
    <w:link w:val="Heading3Char"/>
    <w:uiPriority w:val="9"/>
    <w:unhideWhenUsed/>
    <w:qFormat/>
    <w:rsid w:val="00DC64A0"/>
    <w:pPr>
      <w:spacing w:before="240" w:line="240" w:lineRule="auto"/>
      <w:jc w:val="center"/>
      <w:outlineLvl w:val="2"/>
    </w:pPr>
    <w:rPr>
      <w:rFonts w:eastAsia="Times New Roman" w:cs="Arial"/>
      <w:b/>
      <w:color w:val="000000"/>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000"/>
  </w:style>
  <w:style w:type="paragraph" w:styleId="Footer">
    <w:name w:val="footer"/>
    <w:basedOn w:val="Normal"/>
    <w:link w:val="FooterChar"/>
    <w:uiPriority w:val="99"/>
    <w:unhideWhenUsed/>
    <w:rsid w:val="00FB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000"/>
  </w:style>
  <w:style w:type="paragraph" w:styleId="BalloonText">
    <w:name w:val="Balloon Text"/>
    <w:basedOn w:val="Normal"/>
    <w:link w:val="BalloonTextChar"/>
    <w:uiPriority w:val="99"/>
    <w:semiHidden/>
    <w:unhideWhenUsed/>
    <w:rsid w:val="00FB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000"/>
    <w:rPr>
      <w:rFonts w:ascii="Tahoma" w:hAnsi="Tahoma" w:cs="Tahoma"/>
      <w:sz w:val="16"/>
      <w:szCs w:val="16"/>
    </w:rPr>
  </w:style>
  <w:style w:type="table" w:styleId="TableGrid">
    <w:name w:val="Table Grid"/>
    <w:basedOn w:val="TableNormal"/>
    <w:uiPriority w:val="59"/>
    <w:rsid w:val="00507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121"/>
    <w:pPr>
      <w:ind w:left="720"/>
      <w:contextualSpacing/>
    </w:pPr>
  </w:style>
  <w:style w:type="character" w:customStyle="1" w:styleId="left">
    <w:name w:val="left"/>
    <w:basedOn w:val="DefaultParagraphFont"/>
    <w:rsid w:val="00A10AA7"/>
  </w:style>
  <w:style w:type="character" w:customStyle="1" w:styleId="Heading1Char">
    <w:name w:val="Heading 1 Char"/>
    <w:basedOn w:val="DefaultParagraphFont"/>
    <w:link w:val="Heading1"/>
    <w:uiPriority w:val="9"/>
    <w:rsid w:val="00D52E88"/>
    <w:rPr>
      <w:rFonts w:ascii="Arial" w:hAnsi="Arial" w:cs="Arial"/>
      <w:b/>
      <w:sz w:val="32"/>
      <w:szCs w:val="32"/>
    </w:rPr>
  </w:style>
  <w:style w:type="character" w:customStyle="1" w:styleId="Heading2Char">
    <w:name w:val="Heading 2 Char"/>
    <w:basedOn w:val="DefaultParagraphFont"/>
    <w:link w:val="Heading2"/>
    <w:uiPriority w:val="9"/>
    <w:rsid w:val="00DC64A0"/>
    <w:rPr>
      <w:rFonts w:ascii="Arial" w:hAnsi="Arial" w:cs="Arial"/>
      <w:b/>
      <w:sz w:val="28"/>
      <w:szCs w:val="28"/>
    </w:rPr>
  </w:style>
  <w:style w:type="character" w:customStyle="1" w:styleId="Heading3Char">
    <w:name w:val="Heading 3 Char"/>
    <w:basedOn w:val="DefaultParagraphFont"/>
    <w:link w:val="Heading3"/>
    <w:uiPriority w:val="9"/>
    <w:rsid w:val="00DC64A0"/>
    <w:rPr>
      <w:rFonts w:ascii="Arial" w:eastAsia="Times New Roman" w:hAnsi="Arial" w:cs="Arial"/>
      <w:b/>
      <w:color w:val="000000"/>
      <w:sz w:val="24"/>
      <w:szCs w:val="28"/>
      <w:lang w:eastAsia="en-AU"/>
    </w:rPr>
  </w:style>
  <w:style w:type="paragraph" w:customStyle="1" w:styleId="TableNumbers">
    <w:name w:val="TableNumbers"/>
    <w:basedOn w:val="TableText"/>
    <w:qFormat/>
    <w:rsid w:val="00A01242"/>
    <w:pPr>
      <w:jc w:val="right"/>
    </w:pPr>
  </w:style>
  <w:style w:type="paragraph" w:customStyle="1" w:styleId="TableText">
    <w:name w:val="TableText"/>
    <w:basedOn w:val="Normal"/>
    <w:qFormat/>
    <w:rsid w:val="00A01242"/>
    <w:pPr>
      <w:spacing w:after="0" w:line="240" w:lineRule="auto"/>
    </w:pPr>
    <w:rPr>
      <w:rFonts w:cs="Arial"/>
      <w:color w:val="000000"/>
      <w:sz w:val="18"/>
      <w:szCs w:val="18"/>
    </w:rPr>
  </w:style>
  <w:style w:type="paragraph" w:customStyle="1" w:styleId="TableHeading">
    <w:name w:val="TableHeading"/>
    <w:basedOn w:val="Normal"/>
    <w:qFormat/>
    <w:rsid w:val="009A020D"/>
    <w:pPr>
      <w:spacing w:before="40" w:after="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202">
      <w:bodyDiv w:val="1"/>
      <w:marLeft w:val="0"/>
      <w:marRight w:val="0"/>
      <w:marTop w:val="0"/>
      <w:marBottom w:val="0"/>
      <w:divBdr>
        <w:top w:val="none" w:sz="0" w:space="0" w:color="auto"/>
        <w:left w:val="none" w:sz="0" w:space="0" w:color="auto"/>
        <w:bottom w:val="none" w:sz="0" w:space="0" w:color="auto"/>
        <w:right w:val="none" w:sz="0" w:space="0" w:color="auto"/>
      </w:divBdr>
    </w:div>
    <w:div w:id="47190091">
      <w:bodyDiv w:val="1"/>
      <w:marLeft w:val="0"/>
      <w:marRight w:val="0"/>
      <w:marTop w:val="0"/>
      <w:marBottom w:val="0"/>
      <w:divBdr>
        <w:top w:val="none" w:sz="0" w:space="0" w:color="auto"/>
        <w:left w:val="none" w:sz="0" w:space="0" w:color="auto"/>
        <w:bottom w:val="none" w:sz="0" w:space="0" w:color="auto"/>
        <w:right w:val="none" w:sz="0" w:space="0" w:color="auto"/>
      </w:divBdr>
    </w:div>
    <w:div w:id="108858844">
      <w:bodyDiv w:val="1"/>
      <w:marLeft w:val="0"/>
      <w:marRight w:val="0"/>
      <w:marTop w:val="0"/>
      <w:marBottom w:val="0"/>
      <w:divBdr>
        <w:top w:val="none" w:sz="0" w:space="0" w:color="auto"/>
        <w:left w:val="none" w:sz="0" w:space="0" w:color="auto"/>
        <w:bottom w:val="none" w:sz="0" w:space="0" w:color="auto"/>
        <w:right w:val="none" w:sz="0" w:space="0" w:color="auto"/>
      </w:divBdr>
    </w:div>
    <w:div w:id="231429739">
      <w:bodyDiv w:val="1"/>
      <w:marLeft w:val="0"/>
      <w:marRight w:val="0"/>
      <w:marTop w:val="0"/>
      <w:marBottom w:val="0"/>
      <w:divBdr>
        <w:top w:val="none" w:sz="0" w:space="0" w:color="auto"/>
        <w:left w:val="none" w:sz="0" w:space="0" w:color="auto"/>
        <w:bottom w:val="none" w:sz="0" w:space="0" w:color="auto"/>
        <w:right w:val="none" w:sz="0" w:space="0" w:color="auto"/>
      </w:divBdr>
    </w:div>
    <w:div w:id="232785836">
      <w:bodyDiv w:val="1"/>
      <w:marLeft w:val="0"/>
      <w:marRight w:val="0"/>
      <w:marTop w:val="0"/>
      <w:marBottom w:val="0"/>
      <w:divBdr>
        <w:top w:val="none" w:sz="0" w:space="0" w:color="auto"/>
        <w:left w:val="none" w:sz="0" w:space="0" w:color="auto"/>
        <w:bottom w:val="none" w:sz="0" w:space="0" w:color="auto"/>
        <w:right w:val="none" w:sz="0" w:space="0" w:color="auto"/>
      </w:divBdr>
    </w:div>
    <w:div w:id="245649581">
      <w:bodyDiv w:val="1"/>
      <w:marLeft w:val="0"/>
      <w:marRight w:val="0"/>
      <w:marTop w:val="0"/>
      <w:marBottom w:val="0"/>
      <w:divBdr>
        <w:top w:val="none" w:sz="0" w:space="0" w:color="auto"/>
        <w:left w:val="none" w:sz="0" w:space="0" w:color="auto"/>
        <w:bottom w:val="none" w:sz="0" w:space="0" w:color="auto"/>
        <w:right w:val="none" w:sz="0" w:space="0" w:color="auto"/>
      </w:divBdr>
    </w:div>
    <w:div w:id="277414966">
      <w:bodyDiv w:val="1"/>
      <w:marLeft w:val="0"/>
      <w:marRight w:val="0"/>
      <w:marTop w:val="0"/>
      <w:marBottom w:val="0"/>
      <w:divBdr>
        <w:top w:val="none" w:sz="0" w:space="0" w:color="auto"/>
        <w:left w:val="none" w:sz="0" w:space="0" w:color="auto"/>
        <w:bottom w:val="none" w:sz="0" w:space="0" w:color="auto"/>
        <w:right w:val="none" w:sz="0" w:space="0" w:color="auto"/>
      </w:divBdr>
    </w:div>
    <w:div w:id="298920886">
      <w:bodyDiv w:val="1"/>
      <w:marLeft w:val="0"/>
      <w:marRight w:val="0"/>
      <w:marTop w:val="0"/>
      <w:marBottom w:val="0"/>
      <w:divBdr>
        <w:top w:val="none" w:sz="0" w:space="0" w:color="auto"/>
        <w:left w:val="none" w:sz="0" w:space="0" w:color="auto"/>
        <w:bottom w:val="none" w:sz="0" w:space="0" w:color="auto"/>
        <w:right w:val="none" w:sz="0" w:space="0" w:color="auto"/>
      </w:divBdr>
    </w:div>
    <w:div w:id="317807042">
      <w:bodyDiv w:val="1"/>
      <w:marLeft w:val="0"/>
      <w:marRight w:val="0"/>
      <w:marTop w:val="0"/>
      <w:marBottom w:val="0"/>
      <w:divBdr>
        <w:top w:val="none" w:sz="0" w:space="0" w:color="auto"/>
        <w:left w:val="none" w:sz="0" w:space="0" w:color="auto"/>
        <w:bottom w:val="none" w:sz="0" w:space="0" w:color="auto"/>
        <w:right w:val="none" w:sz="0" w:space="0" w:color="auto"/>
      </w:divBdr>
    </w:div>
    <w:div w:id="321616428">
      <w:bodyDiv w:val="1"/>
      <w:marLeft w:val="0"/>
      <w:marRight w:val="0"/>
      <w:marTop w:val="0"/>
      <w:marBottom w:val="0"/>
      <w:divBdr>
        <w:top w:val="none" w:sz="0" w:space="0" w:color="auto"/>
        <w:left w:val="none" w:sz="0" w:space="0" w:color="auto"/>
        <w:bottom w:val="none" w:sz="0" w:space="0" w:color="auto"/>
        <w:right w:val="none" w:sz="0" w:space="0" w:color="auto"/>
      </w:divBdr>
    </w:div>
    <w:div w:id="422382800">
      <w:bodyDiv w:val="1"/>
      <w:marLeft w:val="0"/>
      <w:marRight w:val="0"/>
      <w:marTop w:val="0"/>
      <w:marBottom w:val="0"/>
      <w:divBdr>
        <w:top w:val="none" w:sz="0" w:space="0" w:color="auto"/>
        <w:left w:val="none" w:sz="0" w:space="0" w:color="auto"/>
        <w:bottom w:val="none" w:sz="0" w:space="0" w:color="auto"/>
        <w:right w:val="none" w:sz="0" w:space="0" w:color="auto"/>
      </w:divBdr>
    </w:div>
    <w:div w:id="430050662">
      <w:bodyDiv w:val="1"/>
      <w:marLeft w:val="0"/>
      <w:marRight w:val="0"/>
      <w:marTop w:val="0"/>
      <w:marBottom w:val="0"/>
      <w:divBdr>
        <w:top w:val="none" w:sz="0" w:space="0" w:color="auto"/>
        <w:left w:val="none" w:sz="0" w:space="0" w:color="auto"/>
        <w:bottom w:val="none" w:sz="0" w:space="0" w:color="auto"/>
        <w:right w:val="none" w:sz="0" w:space="0" w:color="auto"/>
      </w:divBdr>
    </w:div>
    <w:div w:id="534149531">
      <w:bodyDiv w:val="1"/>
      <w:marLeft w:val="0"/>
      <w:marRight w:val="0"/>
      <w:marTop w:val="0"/>
      <w:marBottom w:val="0"/>
      <w:divBdr>
        <w:top w:val="none" w:sz="0" w:space="0" w:color="auto"/>
        <w:left w:val="none" w:sz="0" w:space="0" w:color="auto"/>
        <w:bottom w:val="none" w:sz="0" w:space="0" w:color="auto"/>
        <w:right w:val="none" w:sz="0" w:space="0" w:color="auto"/>
      </w:divBdr>
    </w:div>
    <w:div w:id="582641475">
      <w:bodyDiv w:val="1"/>
      <w:marLeft w:val="0"/>
      <w:marRight w:val="0"/>
      <w:marTop w:val="0"/>
      <w:marBottom w:val="0"/>
      <w:divBdr>
        <w:top w:val="none" w:sz="0" w:space="0" w:color="auto"/>
        <w:left w:val="none" w:sz="0" w:space="0" w:color="auto"/>
        <w:bottom w:val="none" w:sz="0" w:space="0" w:color="auto"/>
        <w:right w:val="none" w:sz="0" w:space="0" w:color="auto"/>
      </w:divBdr>
    </w:div>
    <w:div w:id="735511952">
      <w:bodyDiv w:val="1"/>
      <w:marLeft w:val="0"/>
      <w:marRight w:val="0"/>
      <w:marTop w:val="0"/>
      <w:marBottom w:val="0"/>
      <w:divBdr>
        <w:top w:val="none" w:sz="0" w:space="0" w:color="auto"/>
        <w:left w:val="none" w:sz="0" w:space="0" w:color="auto"/>
        <w:bottom w:val="none" w:sz="0" w:space="0" w:color="auto"/>
        <w:right w:val="none" w:sz="0" w:space="0" w:color="auto"/>
      </w:divBdr>
    </w:div>
    <w:div w:id="740324000">
      <w:bodyDiv w:val="1"/>
      <w:marLeft w:val="0"/>
      <w:marRight w:val="0"/>
      <w:marTop w:val="0"/>
      <w:marBottom w:val="0"/>
      <w:divBdr>
        <w:top w:val="none" w:sz="0" w:space="0" w:color="auto"/>
        <w:left w:val="none" w:sz="0" w:space="0" w:color="auto"/>
        <w:bottom w:val="none" w:sz="0" w:space="0" w:color="auto"/>
        <w:right w:val="none" w:sz="0" w:space="0" w:color="auto"/>
      </w:divBdr>
    </w:div>
    <w:div w:id="813251949">
      <w:bodyDiv w:val="1"/>
      <w:marLeft w:val="0"/>
      <w:marRight w:val="0"/>
      <w:marTop w:val="0"/>
      <w:marBottom w:val="0"/>
      <w:divBdr>
        <w:top w:val="none" w:sz="0" w:space="0" w:color="auto"/>
        <w:left w:val="none" w:sz="0" w:space="0" w:color="auto"/>
        <w:bottom w:val="none" w:sz="0" w:space="0" w:color="auto"/>
        <w:right w:val="none" w:sz="0" w:space="0" w:color="auto"/>
      </w:divBdr>
    </w:div>
    <w:div w:id="823816918">
      <w:bodyDiv w:val="1"/>
      <w:marLeft w:val="0"/>
      <w:marRight w:val="0"/>
      <w:marTop w:val="0"/>
      <w:marBottom w:val="0"/>
      <w:divBdr>
        <w:top w:val="none" w:sz="0" w:space="0" w:color="auto"/>
        <w:left w:val="none" w:sz="0" w:space="0" w:color="auto"/>
        <w:bottom w:val="none" w:sz="0" w:space="0" w:color="auto"/>
        <w:right w:val="none" w:sz="0" w:space="0" w:color="auto"/>
      </w:divBdr>
    </w:div>
    <w:div w:id="859274343">
      <w:bodyDiv w:val="1"/>
      <w:marLeft w:val="0"/>
      <w:marRight w:val="0"/>
      <w:marTop w:val="0"/>
      <w:marBottom w:val="0"/>
      <w:divBdr>
        <w:top w:val="none" w:sz="0" w:space="0" w:color="auto"/>
        <w:left w:val="none" w:sz="0" w:space="0" w:color="auto"/>
        <w:bottom w:val="none" w:sz="0" w:space="0" w:color="auto"/>
        <w:right w:val="none" w:sz="0" w:space="0" w:color="auto"/>
      </w:divBdr>
    </w:div>
    <w:div w:id="881595207">
      <w:bodyDiv w:val="1"/>
      <w:marLeft w:val="0"/>
      <w:marRight w:val="0"/>
      <w:marTop w:val="0"/>
      <w:marBottom w:val="0"/>
      <w:divBdr>
        <w:top w:val="none" w:sz="0" w:space="0" w:color="auto"/>
        <w:left w:val="none" w:sz="0" w:space="0" w:color="auto"/>
        <w:bottom w:val="none" w:sz="0" w:space="0" w:color="auto"/>
        <w:right w:val="none" w:sz="0" w:space="0" w:color="auto"/>
      </w:divBdr>
    </w:div>
    <w:div w:id="938835081">
      <w:bodyDiv w:val="1"/>
      <w:marLeft w:val="0"/>
      <w:marRight w:val="0"/>
      <w:marTop w:val="0"/>
      <w:marBottom w:val="0"/>
      <w:divBdr>
        <w:top w:val="none" w:sz="0" w:space="0" w:color="auto"/>
        <w:left w:val="none" w:sz="0" w:space="0" w:color="auto"/>
        <w:bottom w:val="none" w:sz="0" w:space="0" w:color="auto"/>
        <w:right w:val="none" w:sz="0" w:space="0" w:color="auto"/>
      </w:divBdr>
    </w:div>
    <w:div w:id="956059116">
      <w:bodyDiv w:val="1"/>
      <w:marLeft w:val="0"/>
      <w:marRight w:val="0"/>
      <w:marTop w:val="0"/>
      <w:marBottom w:val="0"/>
      <w:divBdr>
        <w:top w:val="none" w:sz="0" w:space="0" w:color="auto"/>
        <w:left w:val="none" w:sz="0" w:space="0" w:color="auto"/>
        <w:bottom w:val="none" w:sz="0" w:space="0" w:color="auto"/>
        <w:right w:val="none" w:sz="0" w:space="0" w:color="auto"/>
      </w:divBdr>
    </w:div>
    <w:div w:id="981151647">
      <w:bodyDiv w:val="1"/>
      <w:marLeft w:val="0"/>
      <w:marRight w:val="0"/>
      <w:marTop w:val="0"/>
      <w:marBottom w:val="0"/>
      <w:divBdr>
        <w:top w:val="none" w:sz="0" w:space="0" w:color="auto"/>
        <w:left w:val="none" w:sz="0" w:space="0" w:color="auto"/>
        <w:bottom w:val="none" w:sz="0" w:space="0" w:color="auto"/>
        <w:right w:val="none" w:sz="0" w:space="0" w:color="auto"/>
      </w:divBdr>
    </w:div>
    <w:div w:id="1004625540">
      <w:bodyDiv w:val="1"/>
      <w:marLeft w:val="0"/>
      <w:marRight w:val="0"/>
      <w:marTop w:val="0"/>
      <w:marBottom w:val="0"/>
      <w:divBdr>
        <w:top w:val="none" w:sz="0" w:space="0" w:color="auto"/>
        <w:left w:val="none" w:sz="0" w:space="0" w:color="auto"/>
        <w:bottom w:val="none" w:sz="0" w:space="0" w:color="auto"/>
        <w:right w:val="none" w:sz="0" w:space="0" w:color="auto"/>
      </w:divBdr>
    </w:div>
    <w:div w:id="1020550223">
      <w:bodyDiv w:val="1"/>
      <w:marLeft w:val="0"/>
      <w:marRight w:val="0"/>
      <w:marTop w:val="0"/>
      <w:marBottom w:val="0"/>
      <w:divBdr>
        <w:top w:val="none" w:sz="0" w:space="0" w:color="auto"/>
        <w:left w:val="none" w:sz="0" w:space="0" w:color="auto"/>
        <w:bottom w:val="none" w:sz="0" w:space="0" w:color="auto"/>
        <w:right w:val="none" w:sz="0" w:space="0" w:color="auto"/>
      </w:divBdr>
    </w:div>
    <w:div w:id="1057439366">
      <w:bodyDiv w:val="1"/>
      <w:marLeft w:val="0"/>
      <w:marRight w:val="0"/>
      <w:marTop w:val="0"/>
      <w:marBottom w:val="0"/>
      <w:divBdr>
        <w:top w:val="none" w:sz="0" w:space="0" w:color="auto"/>
        <w:left w:val="none" w:sz="0" w:space="0" w:color="auto"/>
        <w:bottom w:val="none" w:sz="0" w:space="0" w:color="auto"/>
        <w:right w:val="none" w:sz="0" w:space="0" w:color="auto"/>
      </w:divBdr>
    </w:div>
    <w:div w:id="1061714059">
      <w:bodyDiv w:val="1"/>
      <w:marLeft w:val="0"/>
      <w:marRight w:val="0"/>
      <w:marTop w:val="0"/>
      <w:marBottom w:val="0"/>
      <w:divBdr>
        <w:top w:val="none" w:sz="0" w:space="0" w:color="auto"/>
        <w:left w:val="none" w:sz="0" w:space="0" w:color="auto"/>
        <w:bottom w:val="none" w:sz="0" w:space="0" w:color="auto"/>
        <w:right w:val="none" w:sz="0" w:space="0" w:color="auto"/>
      </w:divBdr>
    </w:div>
    <w:div w:id="1065647108">
      <w:bodyDiv w:val="1"/>
      <w:marLeft w:val="0"/>
      <w:marRight w:val="0"/>
      <w:marTop w:val="0"/>
      <w:marBottom w:val="0"/>
      <w:divBdr>
        <w:top w:val="none" w:sz="0" w:space="0" w:color="auto"/>
        <w:left w:val="none" w:sz="0" w:space="0" w:color="auto"/>
        <w:bottom w:val="none" w:sz="0" w:space="0" w:color="auto"/>
        <w:right w:val="none" w:sz="0" w:space="0" w:color="auto"/>
      </w:divBdr>
    </w:div>
    <w:div w:id="1224834474">
      <w:bodyDiv w:val="1"/>
      <w:marLeft w:val="0"/>
      <w:marRight w:val="0"/>
      <w:marTop w:val="0"/>
      <w:marBottom w:val="0"/>
      <w:divBdr>
        <w:top w:val="none" w:sz="0" w:space="0" w:color="auto"/>
        <w:left w:val="none" w:sz="0" w:space="0" w:color="auto"/>
        <w:bottom w:val="none" w:sz="0" w:space="0" w:color="auto"/>
        <w:right w:val="none" w:sz="0" w:space="0" w:color="auto"/>
      </w:divBdr>
    </w:div>
    <w:div w:id="1259361921">
      <w:bodyDiv w:val="1"/>
      <w:marLeft w:val="0"/>
      <w:marRight w:val="0"/>
      <w:marTop w:val="0"/>
      <w:marBottom w:val="0"/>
      <w:divBdr>
        <w:top w:val="none" w:sz="0" w:space="0" w:color="auto"/>
        <w:left w:val="none" w:sz="0" w:space="0" w:color="auto"/>
        <w:bottom w:val="none" w:sz="0" w:space="0" w:color="auto"/>
        <w:right w:val="none" w:sz="0" w:space="0" w:color="auto"/>
      </w:divBdr>
    </w:div>
    <w:div w:id="1343777714">
      <w:bodyDiv w:val="1"/>
      <w:marLeft w:val="0"/>
      <w:marRight w:val="0"/>
      <w:marTop w:val="0"/>
      <w:marBottom w:val="0"/>
      <w:divBdr>
        <w:top w:val="none" w:sz="0" w:space="0" w:color="auto"/>
        <w:left w:val="none" w:sz="0" w:space="0" w:color="auto"/>
        <w:bottom w:val="none" w:sz="0" w:space="0" w:color="auto"/>
        <w:right w:val="none" w:sz="0" w:space="0" w:color="auto"/>
      </w:divBdr>
    </w:div>
    <w:div w:id="1403328508">
      <w:bodyDiv w:val="1"/>
      <w:marLeft w:val="0"/>
      <w:marRight w:val="0"/>
      <w:marTop w:val="0"/>
      <w:marBottom w:val="0"/>
      <w:divBdr>
        <w:top w:val="none" w:sz="0" w:space="0" w:color="auto"/>
        <w:left w:val="none" w:sz="0" w:space="0" w:color="auto"/>
        <w:bottom w:val="none" w:sz="0" w:space="0" w:color="auto"/>
        <w:right w:val="none" w:sz="0" w:space="0" w:color="auto"/>
      </w:divBdr>
    </w:div>
    <w:div w:id="1527256951">
      <w:bodyDiv w:val="1"/>
      <w:marLeft w:val="0"/>
      <w:marRight w:val="0"/>
      <w:marTop w:val="0"/>
      <w:marBottom w:val="0"/>
      <w:divBdr>
        <w:top w:val="none" w:sz="0" w:space="0" w:color="auto"/>
        <w:left w:val="none" w:sz="0" w:space="0" w:color="auto"/>
        <w:bottom w:val="none" w:sz="0" w:space="0" w:color="auto"/>
        <w:right w:val="none" w:sz="0" w:space="0" w:color="auto"/>
      </w:divBdr>
    </w:div>
    <w:div w:id="1663005093">
      <w:bodyDiv w:val="1"/>
      <w:marLeft w:val="0"/>
      <w:marRight w:val="0"/>
      <w:marTop w:val="0"/>
      <w:marBottom w:val="0"/>
      <w:divBdr>
        <w:top w:val="none" w:sz="0" w:space="0" w:color="auto"/>
        <w:left w:val="none" w:sz="0" w:space="0" w:color="auto"/>
        <w:bottom w:val="none" w:sz="0" w:space="0" w:color="auto"/>
        <w:right w:val="none" w:sz="0" w:space="0" w:color="auto"/>
      </w:divBdr>
    </w:div>
    <w:div w:id="1717966599">
      <w:bodyDiv w:val="1"/>
      <w:marLeft w:val="0"/>
      <w:marRight w:val="0"/>
      <w:marTop w:val="0"/>
      <w:marBottom w:val="0"/>
      <w:divBdr>
        <w:top w:val="none" w:sz="0" w:space="0" w:color="auto"/>
        <w:left w:val="none" w:sz="0" w:space="0" w:color="auto"/>
        <w:bottom w:val="none" w:sz="0" w:space="0" w:color="auto"/>
        <w:right w:val="none" w:sz="0" w:space="0" w:color="auto"/>
      </w:divBdr>
    </w:div>
    <w:div w:id="1740901768">
      <w:bodyDiv w:val="1"/>
      <w:marLeft w:val="0"/>
      <w:marRight w:val="0"/>
      <w:marTop w:val="0"/>
      <w:marBottom w:val="0"/>
      <w:divBdr>
        <w:top w:val="none" w:sz="0" w:space="0" w:color="auto"/>
        <w:left w:val="none" w:sz="0" w:space="0" w:color="auto"/>
        <w:bottom w:val="none" w:sz="0" w:space="0" w:color="auto"/>
        <w:right w:val="none" w:sz="0" w:space="0" w:color="auto"/>
      </w:divBdr>
    </w:div>
    <w:div w:id="1839729348">
      <w:bodyDiv w:val="1"/>
      <w:marLeft w:val="0"/>
      <w:marRight w:val="0"/>
      <w:marTop w:val="0"/>
      <w:marBottom w:val="0"/>
      <w:divBdr>
        <w:top w:val="none" w:sz="0" w:space="0" w:color="auto"/>
        <w:left w:val="none" w:sz="0" w:space="0" w:color="auto"/>
        <w:bottom w:val="none" w:sz="0" w:space="0" w:color="auto"/>
        <w:right w:val="none" w:sz="0" w:space="0" w:color="auto"/>
      </w:divBdr>
    </w:div>
    <w:div w:id="1874538208">
      <w:bodyDiv w:val="1"/>
      <w:marLeft w:val="0"/>
      <w:marRight w:val="0"/>
      <w:marTop w:val="0"/>
      <w:marBottom w:val="0"/>
      <w:divBdr>
        <w:top w:val="none" w:sz="0" w:space="0" w:color="auto"/>
        <w:left w:val="none" w:sz="0" w:space="0" w:color="auto"/>
        <w:bottom w:val="none" w:sz="0" w:space="0" w:color="auto"/>
        <w:right w:val="none" w:sz="0" w:space="0" w:color="auto"/>
      </w:divBdr>
    </w:div>
    <w:div w:id="1936210080">
      <w:bodyDiv w:val="1"/>
      <w:marLeft w:val="0"/>
      <w:marRight w:val="0"/>
      <w:marTop w:val="0"/>
      <w:marBottom w:val="0"/>
      <w:divBdr>
        <w:top w:val="none" w:sz="0" w:space="0" w:color="auto"/>
        <w:left w:val="none" w:sz="0" w:space="0" w:color="auto"/>
        <w:bottom w:val="none" w:sz="0" w:space="0" w:color="auto"/>
        <w:right w:val="none" w:sz="0" w:space="0" w:color="auto"/>
      </w:divBdr>
    </w:div>
    <w:div w:id="1939680936">
      <w:bodyDiv w:val="1"/>
      <w:marLeft w:val="0"/>
      <w:marRight w:val="0"/>
      <w:marTop w:val="0"/>
      <w:marBottom w:val="0"/>
      <w:divBdr>
        <w:top w:val="none" w:sz="0" w:space="0" w:color="auto"/>
        <w:left w:val="none" w:sz="0" w:space="0" w:color="auto"/>
        <w:bottom w:val="none" w:sz="0" w:space="0" w:color="auto"/>
        <w:right w:val="none" w:sz="0" w:space="0" w:color="auto"/>
      </w:divBdr>
    </w:div>
    <w:div w:id="2013296827">
      <w:bodyDiv w:val="1"/>
      <w:marLeft w:val="0"/>
      <w:marRight w:val="0"/>
      <w:marTop w:val="0"/>
      <w:marBottom w:val="0"/>
      <w:divBdr>
        <w:top w:val="none" w:sz="0" w:space="0" w:color="auto"/>
        <w:left w:val="none" w:sz="0" w:space="0" w:color="auto"/>
        <w:bottom w:val="none" w:sz="0" w:space="0" w:color="auto"/>
        <w:right w:val="none" w:sz="0" w:space="0" w:color="auto"/>
      </w:divBdr>
    </w:div>
    <w:div w:id="2045712507">
      <w:bodyDiv w:val="1"/>
      <w:marLeft w:val="0"/>
      <w:marRight w:val="0"/>
      <w:marTop w:val="0"/>
      <w:marBottom w:val="0"/>
      <w:divBdr>
        <w:top w:val="none" w:sz="0" w:space="0" w:color="auto"/>
        <w:left w:val="none" w:sz="0" w:space="0" w:color="auto"/>
        <w:bottom w:val="none" w:sz="0" w:space="0" w:color="auto"/>
        <w:right w:val="none" w:sz="0" w:space="0" w:color="auto"/>
      </w:divBdr>
    </w:div>
    <w:div w:id="2056271805">
      <w:bodyDiv w:val="1"/>
      <w:marLeft w:val="0"/>
      <w:marRight w:val="0"/>
      <w:marTop w:val="0"/>
      <w:marBottom w:val="0"/>
      <w:divBdr>
        <w:top w:val="none" w:sz="0" w:space="0" w:color="auto"/>
        <w:left w:val="none" w:sz="0" w:space="0" w:color="auto"/>
        <w:bottom w:val="none" w:sz="0" w:space="0" w:color="auto"/>
        <w:right w:val="none" w:sz="0" w:space="0" w:color="auto"/>
      </w:divBdr>
    </w:div>
    <w:div w:id="2135128227">
      <w:bodyDiv w:val="1"/>
      <w:marLeft w:val="0"/>
      <w:marRight w:val="0"/>
      <w:marTop w:val="0"/>
      <w:marBottom w:val="0"/>
      <w:divBdr>
        <w:top w:val="none" w:sz="0" w:space="0" w:color="auto"/>
        <w:left w:val="none" w:sz="0" w:space="0" w:color="auto"/>
        <w:bottom w:val="none" w:sz="0" w:space="0" w:color="auto"/>
        <w:right w:val="none" w:sz="0" w:space="0" w:color="auto"/>
      </w:divBdr>
    </w:div>
    <w:div w:id="21402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lan\Desktop\Fact%20Shee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4292-5E95-4FAE-A75B-33559011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Template.dotx</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Sillis</dc:creator>
  <cp:lastModifiedBy>Simon Best</cp:lastModifiedBy>
  <cp:revision>2</cp:revision>
  <cp:lastPrinted>2013-03-14T23:58:00Z</cp:lastPrinted>
  <dcterms:created xsi:type="dcterms:W3CDTF">2013-03-22T00:39:00Z</dcterms:created>
  <dcterms:modified xsi:type="dcterms:W3CDTF">2013-03-22T00:39:00Z</dcterms:modified>
</cp:coreProperties>
</file>