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F61BCC" w:rsidP="007252AC">
      <w:pPr>
        <w:pStyle w:val="Heading1"/>
      </w:pPr>
      <w:r>
        <w:t>Western Australia</w:t>
      </w:r>
    </w:p>
    <w:p w:rsidR="00793E32" w:rsidRDefault="00793E32" w:rsidP="00793E32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DC64A0">
      <w:pPr>
        <w:pStyle w:val="Heading2"/>
      </w:pPr>
      <w:r w:rsidRPr="00DC64A0">
        <w:t xml:space="preserve">Most advantaged and disadvantaged Local Government Areas </w:t>
      </w:r>
      <w:r w:rsidR="00D52E88" w:rsidRPr="00DC64A0">
        <w:br/>
      </w:r>
      <w:r w:rsidR="002A567D">
        <w:t xml:space="preserve">(LGAs) </w:t>
      </w:r>
      <w:r w:rsidRPr="00DC64A0">
        <w:t>by IRSAD</w:t>
      </w:r>
    </w:p>
    <w:p w:rsidR="00C260BD" w:rsidRPr="00C260BD" w:rsidRDefault="00C260BD" w:rsidP="00C260BD">
      <w:pPr>
        <w:jc w:val="center"/>
      </w:pPr>
    </w:p>
    <w:p w:rsidR="00B75969" w:rsidRPr="00433831" w:rsidRDefault="00B75969" w:rsidP="00A01242">
      <w:pPr>
        <w:pStyle w:val="Heading3"/>
        <w:rPr>
          <w:u w:val="single"/>
        </w:rPr>
      </w:pPr>
      <w:r>
        <w:t>Mo</w:t>
      </w:r>
      <w:r w:rsidR="00357B09">
        <w:t>st a</w:t>
      </w:r>
      <w:r>
        <w:t xml:space="preserve">dvantaged </w:t>
      </w:r>
      <w:r w:rsidRPr="00CC6DCB">
        <w:t>Local</w:t>
      </w:r>
      <w:r>
        <w:t xml:space="preserve">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C8138B" w:rsidTr="00793E3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  <w:rPr>
                <w:rFonts w:eastAsia="Times New Roman"/>
                <w:color w:val="000000"/>
                <w:lang w:eastAsia="en-AU"/>
              </w:rPr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</w:pPr>
            <w:r w:rsidRPr="00C8138B">
              <w:t>LGA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</w:pPr>
            <w:r w:rsidRPr="00C8138B">
              <w:t>Usual Resident Population</w:t>
            </w:r>
          </w:p>
        </w:tc>
      </w:tr>
      <w:tr w:rsidR="00006F5F" w:rsidRPr="002E42CC" w:rsidTr="002C5F3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A01242" w:rsidRDefault="00006F5F" w:rsidP="00A01242">
            <w:pPr>
              <w:pStyle w:val="TableNumbers"/>
            </w:pPr>
            <w:r w:rsidRPr="00A01242"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Pr="001B6491" w:rsidRDefault="00006F5F" w:rsidP="00631117">
            <w:pPr>
              <w:pStyle w:val="TableText"/>
            </w:pPr>
            <w:r>
              <w:t>Peppermint Grove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1,523</w:t>
            </w:r>
          </w:p>
        </w:tc>
      </w:tr>
      <w:tr w:rsidR="00006F5F" w:rsidRPr="002E42CC" w:rsidTr="002C5F3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A01242" w:rsidRDefault="00006F5F" w:rsidP="005E20D7">
            <w:pPr>
              <w:pStyle w:val="TableNumbers"/>
            </w:pPr>
            <w: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Default="00006F5F" w:rsidP="005E20D7">
            <w:pPr>
              <w:pStyle w:val="TableText"/>
            </w:pPr>
            <w:r>
              <w:t>Nedlands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20,514</w:t>
            </w:r>
          </w:p>
        </w:tc>
      </w:tr>
      <w:tr w:rsidR="00006F5F" w:rsidRPr="002E42CC" w:rsidTr="002C5F3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A01242" w:rsidRDefault="00006F5F" w:rsidP="005E20D7">
            <w:pPr>
              <w:pStyle w:val="TableNumbers"/>
            </w:pPr>
            <w: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Default="00006F5F" w:rsidP="005E20D7">
            <w:pPr>
              <w:pStyle w:val="TableText"/>
            </w:pPr>
            <w:r>
              <w:t>Cottesloe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7,598</w:t>
            </w:r>
          </w:p>
        </w:tc>
      </w:tr>
      <w:tr w:rsidR="00006F5F" w:rsidRPr="002E42CC" w:rsidTr="002C5F3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A01242" w:rsidRDefault="00006F5F" w:rsidP="005E20D7">
            <w:pPr>
              <w:pStyle w:val="TableNumbers"/>
            </w:pPr>
            <w: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Default="00006F5F" w:rsidP="005E20D7">
            <w:pPr>
              <w:pStyle w:val="TableText"/>
            </w:pPr>
            <w:r>
              <w:t>Cambridge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24,973</w:t>
            </w:r>
          </w:p>
        </w:tc>
      </w:tr>
      <w:tr w:rsidR="00006F5F" w:rsidRPr="002E42CC" w:rsidTr="002C5F3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A01242" w:rsidRDefault="00006F5F" w:rsidP="005E20D7">
            <w:pPr>
              <w:pStyle w:val="TableNumbers"/>
            </w:pPr>
            <w: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Default="00006F5F" w:rsidP="005E20D7">
            <w:pPr>
              <w:pStyle w:val="TableText"/>
            </w:pPr>
            <w:r>
              <w:t>Claremont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9,280</w:t>
            </w:r>
          </w:p>
        </w:tc>
      </w:tr>
    </w:tbl>
    <w:p w:rsidR="00023160" w:rsidRDefault="00023160" w:rsidP="00023160">
      <w:pPr>
        <w:pStyle w:val="Heading3"/>
      </w:pPr>
    </w:p>
    <w:p w:rsidR="005D2C2E" w:rsidRPr="00433831" w:rsidRDefault="00023160" w:rsidP="00023160">
      <w:pPr>
        <w:pStyle w:val="Heading3"/>
        <w:rPr>
          <w:u w:val="single"/>
        </w:rPr>
      </w:pPr>
      <w:r>
        <w:t>Most disadvantaged Local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793E32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center"/>
          </w:tcPr>
          <w:p w:rsidR="001B54BC" w:rsidRPr="00A01242" w:rsidRDefault="001B54BC" w:rsidP="009A020D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</w:pPr>
            <w:r>
              <w:t>LGA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006F5F" w:rsidRPr="002E42CC" w:rsidTr="008F5A1C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9C247B" w:rsidRDefault="00006F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Pr="001B6491" w:rsidRDefault="00006F5F" w:rsidP="00A01242">
            <w:pPr>
              <w:pStyle w:val="TableText"/>
            </w:pPr>
            <w:r>
              <w:t>Halls Creek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3,563</w:t>
            </w:r>
          </w:p>
        </w:tc>
      </w:tr>
      <w:tr w:rsidR="00006F5F" w:rsidRPr="002E42CC" w:rsidTr="008F5A1C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9C247B" w:rsidRDefault="00006F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Pr="001B6491" w:rsidRDefault="00006F5F" w:rsidP="00A01242">
            <w:pPr>
              <w:pStyle w:val="TableText"/>
            </w:pPr>
            <w:proofErr w:type="spellStart"/>
            <w:r>
              <w:t>Ngaanyatjarraku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1,438</w:t>
            </w:r>
          </w:p>
        </w:tc>
      </w:tr>
      <w:tr w:rsidR="00006F5F" w:rsidRPr="002E42CC" w:rsidTr="008F5A1C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9C247B" w:rsidRDefault="00006F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Pr="001B6491" w:rsidRDefault="00006F5F" w:rsidP="00A01242">
            <w:pPr>
              <w:pStyle w:val="TableText"/>
            </w:pPr>
            <w:r>
              <w:t>Menzies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383</w:t>
            </w:r>
          </w:p>
        </w:tc>
      </w:tr>
      <w:tr w:rsidR="00006F5F" w:rsidRPr="002E42CC" w:rsidTr="008F5A1C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9C247B" w:rsidRDefault="00006F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Pr="001B6491" w:rsidRDefault="00006F5F" w:rsidP="00A01242">
            <w:pPr>
              <w:pStyle w:val="TableText"/>
            </w:pPr>
            <w:r>
              <w:t>Upper Gascoyne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243</w:t>
            </w:r>
          </w:p>
        </w:tc>
      </w:tr>
      <w:tr w:rsidR="00006F5F" w:rsidRPr="002E42CC" w:rsidTr="008F5A1C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06F5F" w:rsidRPr="009C247B" w:rsidRDefault="00006F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06F5F" w:rsidRPr="001B6491" w:rsidRDefault="00006F5F" w:rsidP="00A01242">
            <w:pPr>
              <w:pStyle w:val="TableText"/>
            </w:pPr>
            <w:r>
              <w:t>Derby-West Kimberley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06F5F" w:rsidRDefault="00006F5F" w:rsidP="00A14FE2">
            <w:pPr>
              <w:pStyle w:val="TableNumbers"/>
            </w:pPr>
            <w:r>
              <w:t>8,455</w:t>
            </w:r>
          </w:p>
        </w:tc>
      </w:tr>
    </w:tbl>
    <w:p w:rsidR="00A01242" w:rsidRDefault="00A01242" w:rsidP="00A01242"/>
    <w:p w:rsidR="00793E32" w:rsidRPr="00F9553F" w:rsidRDefault="00793E32" w:rsidP="00793E3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793E32" w:rsidRPr="00ED3C4A" w:rsidRDefault="00793E32" w:rsidP="00793E3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793E32" w:rsidRPr="00F9553F" w:rsidRDefault="00793E32" w:rsidP="00793E3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Local Government Areas </w:t>
      </w:r>
      <w:r w:rsidR="002A567D">
        <w:rPr>
          <w:rFonts w:cs="Arial"/>
          <w:b/>
          <w:color w:val="4F81BD" w:themeColor="accent1"/>
          <w:sz w:val="18"/>
          <w:szCs w:val="18"/>
        </w:rPr>
        <w:t xml:space="preserve">(LGAs) </w:t>
      </w:r>
      <w:r>
        <w:rPr>
          <w:rFonts w:cs="Arial"/>
          <w:b/>
          <w:color w:val="4F81BD" w:themeColor="accent1"/>
          <w:sz w:val="18"/>
          <w:szCs w:val="18"/>
        </w:rPr>
        <w:t>are geographical areas under the responsibility of an incorporated local government council, or an incorporated Indigenous government council.  The LGAs collectively cover only a part of Australia.</w:t>
      </w:r>
    </w:p>
    <w:p w:rsidR="00793E32" w:rsidRPr="00ED3C4A" w:rsidRDefault="00793E32" w:rsidP="00793E3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414231" w:rsidRPr="00DC64A0" w:rsidRDefault="00414231">
      <w:pPr>
        <w:rPr>
          <w:rFonts w:eastAsia="Times New Roman" w:cs="Arial"/>
          <w:b/>
          <w:color w:val="000000"/>
          <w:szCs w:val="20"/>
          <w:lang w:eastAsia="en-AU"/>
        </w:rPr>
      </w:pPr>
      <w:r>
        <w:rPr>
          <w:rFonts w:eastAsia="Times New Roman" w:cs="Arial"/>
          <w:b/>
          <w:color w:val="000000"/>
          <w:sz w:val="28"/>
          <w:szCs w:val="28"/>
          <w:lang w:eastAsia="en-AU"/>
        </w:rPr>
        <w:br w:type="page"/>
      </w:r>
    </w:p>
    <w:p w:rsidR="00B75969" w:rsidRPr="002467CF" w:rsidRDefault="00F61BCC" w:rsidP="002467CF">
      <w:pPr>
        <w:pStyle w:val="Heading1"/>
      </w:pPr>
      <w:r>
        <w:lastRenderedPageBreak/>
        <w:t xml:space="preserve">Western Australia </w:t>
      </w:r>
      <w:r w:rsidR="00023160">
        <w:t>Cap</w:t>
      </w:r>
      <w:r w:rsidR="001A40A3">
        <w:t>ital City -</w:t>
      </w:r>
      <w:r w:rsidR="00C822BA">
        <w:t xml:space="preserve"> </w:t>
      </w:r>
      <w:r>
        <w:t>Perth</w:t>
      </w:r>
    </w:p>
    <w:p w:rsidR="00793E32" w:rsidRDefault="00793E32" w:rsidP="00793E32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2467CF">
      <w:pPr>
        <w:pStyle w:val="Heading2"/>
      </w:pPr>
      <w:r w:rsidRPr="002467CF">
        <w:t xml:space="preserve">Most advantaged and disadvantaged </w:t>
      </w:r>
      <w:r w:rsidR="00C260BD">
        <w:t>Statistical Areas Level 2 (SA2s)</w:t>
      </w:r>
      <w:r w:rsidR="00C260BD" w:rsidRPr="002467CF">
        <w:t xml:space="preserve"> </w:t>
      </w:r>
      <w:r w:rsidRPr="002467CF">
        <w:t>by IRSAD</w:t>
      </w:r>
    </w:p>
    <w:p w:rsidR="00C260BD" w:rsidRPr="00C260BD" w:rsidRDefault="00C260BD" w:rsidP="00C260BD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C260BD">
        <w:t>SA2s</w:t>
      </w:r>
    </w:p>
    <w:tbl>
      <w:tblPr>
        <w:tblStyle w:val="TableGrid"/>
        <w:tblW w:w="7494" w:type="dxa"/>
        <w:jc w:val="center"/>
        <w:tblInd w:w="-114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35"/>
        <w:gridCol w:w="3319"/>
        <w:gridCol w:w="3240"/>
      </w:tblGrid>
      <w:tr w:rsidR="001B54BC" w:rsidRPr="002E42CC" w:rsidTr="00C260BD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319" w:type="dxa"/>
            <w:shd w:val="clear" w:color="auto" w:fill="8DB3E2" w:themeFill="text2" w:themeFillTint="66"/>
            <w:vAlign w:val="center"/>
          </w:tcPr>
          <w:p w:rsidR="001B54BC" w:rsidRPr="00594664" w:rsidRDefault="00C260BD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C822BA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C822BA" w:rsidRPr="009C247B" w:rsidRDefault="00C822BA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C822BA" w:rsidRDefault="00C260BD" w:rsidP="00DF40A4">
            <w:pPr>
              <w:pStyle w:val="TableText"/>
            </w:pPr>
            <w:r>
              <w:t>North Coogee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C260BD" w:rsidP="00DF40A4">
            <w:pPr>
              <w:pStyle w:val="TableNumbers"/>
            </w:pPr>
            <w:r>
              <w:t>582</w:t>
            </w:r>
          </w:p>
        </w:tc>
      </w:tr>
      <w:tr w:rsidR="00C822BA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C822BA" w:rsidRDefault="003C1880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C822BA" w:rsidRPr="001B6491" w:rsidRDefault="00C260BD" w:rsidP="00DF40A4">
            <w:pPr>
              <w:pStyle w:val="TableText"/>
            </w:pPr>
            <w:r>
              <w:t>Iluka-Burns Beach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Pr="001B6491" w:rsidRDefault="00C260BD" w:rsidP="00DF40A4">
            <w:pPr>
              <w:pStyle w:val="TableNumbers"/>
            </w:pPr>
            <w:r>
              <w:t>6,170</w:t>
            </w:r>
          </w:p>
        </w:tc>
      </w:tr>
      <w:tr w:rsidR="00C822BA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C822BA" w:rsidRDefault="003C1880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C822BA" w:rsidRDefault="004F57B2" w:rsidP="00DF40A4">
            <w:pPr>
              <w:pStyle w:val="TableText"/>
            </w:pPr>
            <w:r>
              <w:t>City</w:t>
            </w:r>
            <w:r w:rsidR="00C260BD">
              <w:t xml:space="preserve"> Beach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C260BD" w:rsidP="00DF40A4">
            <w:pPr>
              <w:pStyle w:val="TableNumbers"/>
            </w:pPr>
            <w:r>
              <w:t>6,355</w:t>
            </w:r>
          </w:p>
        </w:tc>
      </w:tr>
      <w:tr w:rsidR="00C822BA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C822BA" w:rsidRDefault="003C1880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C822BA" w:rsidRDefault="00C260BD" w:rsidP="00DF40A4">
            <w:pPr>
              <w:pStyle w:val="TableText"/>
            </w:pPr>
            <w:r>
              <w:t>Floreat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C822BA" w:rsidRDefault="00C260BD" w:rsidP="00DF40A4">
            <w:pPr>
              <w:pStyle w:val="TableNumbers"/>
            </w:pPr>
            <w:r>
              <w:t>7,240</w:t>
            </w:r>
          </w:p>
        </w:tc>
      </w:tr>
      <w:tr w:rsidR="003C1880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3C1880" w:rsidRDefault="003C1880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3C1880" w:rsidRDefault="003C1880" w:rsidP="00DF40A4">
            <w:pPr>
              <w:pStyle w:val="TableText"/>
            </w:pPr>
            <w:r>
              <w:t>Cottesloe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3C1880" w:rsidRDefault="003C1880" w:rsidP="00DF40A4">
            <w:pPr>
              <w:pStyle w:val="TableNumbers"/>
            </w:pPr>
            <w:r>
              <w:t>7,393</w:t>
            </w:r>
          </w:p>
        </w:tc>
      </w:tr>
    </w:tbl>
    <w:p w:rsidR="00C260BD" w:rsidRDefault="00C260BD" w:rsidP="00CC6DCB">
      <w:pPr>
        <w:pStyle w:val="Heading3"/>
      </w:pPr>
    </w:p>
    <w:p w:rsidR="00B75969" w:rsidRPr="00433831" w:rsidRDefault="00357B09" w:rsidP="00CC6DCB">
      <w:pPr>
        <w:pStyle w:val="Heading3"/>
        <w:rPr>
          <w:u w:val="single"/>
        </w:rPr>
      </w:pPr>
      <w:r>
        <w:t>Most d</w:t>
      </w:r>
      <w:r w:rsidR="00B75969">
        <w:t xml:space="preserve">isadvantaged </w:t>
      </w:r>
      <w:r w:rsidR="00C260BD">
        <w:t>SA2</w:t>
      </w:r>
      <w:r>
        <w:t>s</w:t>
      </w:r>
    </w:p>
    <w:tbl>
      <w:tblPr>
        <w:tblStyle w:val="TableGrid"/>
        <w:tblW w:w="7494" w:type="dxa"/>
        <w:jc w:val="center"/>
        <w:tblInd w:w="-114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35"/>
        <w:gridCol w:w="3319"/>
        <w:gridCol w:w="3240"/>
      </w:tblGrid>
      <w:tr w:rsidR="001B54BC" w:rsidRPr="002E42CC" w:rsidTr="00C260BD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31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C260BD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FB13F6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FB13F6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FB13F6" w:rsidRDefault="00C260BD" w:rsidP="002467CF">
            <w:pPr>
              <w:pStyle w:val="TableText"/>
            </w:pPr>
            <w:r>
              <w:t>Mandurah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FB13F6" w:rsidRDefault="00C260BD" w:rsidP="002467CF">
            <w:pPr>
              <w:pStyle w:val="TableNumbers"/>
            </w:pPr>
            <w:r>
              <w:t>8,566</w:t>
            </w:r>
          </w:p>
        </w:tc>
      </w:tr>
      <w:tr w:rsidR="001B54BC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Pr="001B6491" w:rsidRDefault="008A2137" w:rsidP="008A2137">
            <w:pPr>
              <w:pStyle w:val="TableText"/>
            </w:pPr>
            <w:r>
              <w:t>Balga-Mirrabooka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C260BD" w:rsidP="002467CF">
            <w:pPr>
              <w:pStyle w:val="TableNumbers"/>
            </w:pPr>
            <w:r>
              <w:t>18,035</w:t>
            </w:r>
          </w:p>
        </w:tc>
      </w:tr>
      <w:tr w:rsidR="001B54BC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Pr="001B6491" w:rsidRDefault="008A2137" w:rsidP="002467CF">
            <w:pPr>
              <w:pStyle w:val="TableText"/>
            </w:pPr>
            <w:r>
              <w:t>Armadale-Wungong-</w:t>
            </w:r>
            <w:proofErr w:type="spellStart"/>
            <w:r w:rsidR="00C260BD">
              <w:t>Brookdale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C260BD" w:rsidP="002467CF">
            <w:pPr>
              <w:pStyle w:val="TableNumbers"/>
            </w:pPr>
            <w:r>
              <w:t>16,259</w:t>
            </w:r>
          </w:p>
        </w:tc>
      </w:tr>
      <w:tr w:rsidR="001B54BC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Default="00C260BD" w:rsidP="002467CF">
            <w:pPr>
              <w:pStyle w:val="TableText"/>
            </w:pPr>
            <w:r>
              <w:t>Girrawheen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C260BD" w:rsidP="002467CF">
            <w:pPr>
              <w:pStyle w:val="TableNumbers"/>
            </w:pPr>
            <w:r>
              <w:t>8,341</w:t>
            </w:r>
          </w:p>
        </w:tc>
      </w:tr>
      <w:tr w:rsidR="001B54BC" w:rsidRPr="002E42CC" w:rsidTr="00C260BD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Default="00C260BD" w:rsidP="002467CF">
            <w:pPr>
              <w:pStyle w:val="TableText"/>
            </w:pPr>
            <w:r>
              <w:t>Calista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C260BD" w:rsidP="002467CF">
            <w:pPr>
              <w:pStyle w:val="TableNumbers"/>
            </w:pPr>
            <w:r>
              <w:t>7,380</w:t>
            </w:r>
          </w:p>
        </w:tc>
      </w:tr>
    </w:tbl>
    <w:p w:rsidR="002467CF" w:rsidRDefault="002467CF" w:rsidP="002467CF"/>
    <w:p w:rsidR="00793E32" w:rsidRPr="00F9553F" w:rsidRDefault="00793E32" w:rsidP="00793E3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793E32" w:rsidRPr="00F9553F" w:rsidRDefault="00793E32" w:rsidP="00793E3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5A6BF1" w:rsidRPr="00B05A86" w:rsidRDefault="005A6BF1" w:rsidP="005A6BF1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B9077F" w:rsidRPr="00B9077F" w:rsidRDefault="005A6BF1" w:rsidP="00B9077F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SA2s have an average population of around 10,000 people.  In urba</w:t>
      </w:r>
      <w:r w:rsidR="002A567D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5A6BF1" w:rsidRPr="00B9077F" w:rsidRDefault="005A6BF1" w:rsidP="005A6BF1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B9077F" w:rsidRPr="00F9553F" w:rsidRDefault="00B9077F" w:rsidP="005A6BF1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B9077F">
        <w:rPr>
          <w:rFonts w:cs="Arial"/>
          <w:b/>
          <w:color w:val="4F81BD" w:themeColor="accent1"/>
          <w:sz w:val="18"/>
          <w:szCs w:val="18"/>
        </w:rPr>
        <w:t>For</w:t>
      </w:r>
      <w:r>
        <w:rPr>
          <w:rFonts w:ascii="Cambria" w:hAnsi="Cambria" w:cs="Cambria"/>
          <w:color w:val="000000"/>
          <w:sz w:val="28"/>
          <w:szCs w:val="28"/>
        </w:rPr>
        <w:t xml:space="preserve"> </w:t>
      </w:r>
      <w:r w:rsidRPr="00B9077F">
        <w:rPr>
          <w:rFonts w:cs="Arial"/>
          <w:b/>
          <w:color w:val="4F81BD" w:themeColor="accent1"/>
          <w:sz w:val="18"/>
          <w:szCs w:val="18"/>
        </w:rPr>
        <w:t>the purposes of this table, the SA2 Kings Park has been removed due to its low population.</w:t>
      </w:r>
    </w:p>
    <w:p w:rsidR="00B75969" w:rsidRPr="00793E32" w:rsidRDefault="00793E32" w:rsidP="00793E32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  <w:bookmarkStart w:id="0" w:name="_GoBack"/>
      <w:bookmarkEnd w:id="0"/>
    </w:p>
    <w:sectPr w:rsidR="00B75969" w:rsidRPr="00793E32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06F5F"/>
    <w:rsid w:val="00010853"/>
    <w:rsid w:val="00011BBB"/>
    <w:rsid w:val="00023160"/>
    <w:rsid w:val="00041104"/>
    <w:rsid w:val="0004210F"/>
    <w:rsid w:val="000440A8"/>
    <w:rsid w:val="00047BD3"/>
    <w:rsid w:val="00072012"/>
    <w:rsid w:val="000772DD"/>
    <w:rsid w:val="0009008F"/>
    <w:rsid w:val="00091772"/>
    <w:rsid w:val="000A0AA0"/>
    <w:rsid w:val="000B0EEA"/>
    <w:rsid w:val="000B6B37"/>
    <w:rsid w:val="000C3003"/>
    <w:rsid w:val="000E4CF8"/>
    <w:rsid w:val="000E619A"/>
    <w:rsid w:val="000F0542"/>
    <w:rsid w:val="00111BBC"/>
    <w:rsid w:val="00120DC1"/>
    <w:rsid w:val="001222EF"/>
    <w:rsid w:val="0012464C"/>
    <w:rsid w:val="00125798"/>
    <w:rsid w:val="00126662"/>
    <w:rsid w:val="00127D75"/>
    <w:rsid w:val="00142FDA"/>
    <w:rsid w:val="00195295"/>
    <w:rsid w:val="001A320D"/>
    <w:rsid w:val="001A40A3"/>
    <w:rsid w:val="001B4E57"/>
    <w:rsid w:val="001B54BC"/>
    <w:rsid w:val="001B6491"/>
    <w:rsid w:val="001C3BDA"/>
    <w:rsid w:val="001C5AD9"/>
    <w:rsid w:val="001D5700"/>
    <w:rsid w:val="00200A52"/>
    <w:rsid w:val="002236FF"/>
    <w:rsid w:val="0022622A"/>
    <w:rsid w:val="00233455"/>
    <w:rsid w:val="0023602E"/>
    <w:rsid w:val="002467CF"/>
    <w:rsid w:val="0027431A"/>
    <w:rsid w:val="00276567"/>
    <w:rsid w:val="0028449E"/>
    <w:rsid w:val="002A47EB"/>
    <w:rsid w:val="002A567D"/>
    <w:rsid w:val="002C53F7"/>
    <w:rsid w:val="002C574F"/>
    <w:rsid w:val="002D4CEE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5280D"/>
    <w:rsid w:val="00357B09"/>
    <w:rsid w:val="00363981"/>
    <w:rsid w:val="003836C7"/>
    <w:rsid w:val="003A2470"/>
    <w:rsid w:val="003C1880"/>
    <w:rsid w:val="003E5360"/>
    <w:rsid w:val="003E7905"/>
    <w:rsid w:val="003F1FA6"/>
    <w:rsid w:val="0040658F"/>
    <w:rsid w:val="00414231"/>
    <w:rsid w:val="00430AF6"/>
    <w:rsid w:val="00433831"/>
    <w:rsid w:val="00440A8C"/>
    <w:rsid w:val="00442F63"/>
    <w:rsid w:val="00453A95"/>
    <w:rsid w:val="004752F8"/>
    <w:rsid w:val="004B1834"/>
    <w:rsid w:val="004B24E6"/>
    <w:rsid w:val="004F0023"/>
    <w:rsid w:val="004F57B2"/>
    <w:rsid w:val="004F6C2F"/>
    <w:rsid w:val="00501823"/>
    <w:rsid w:val="00507121"/>
    <w:rsid w:val="0051406F"/>
    <w:rsid w:val="00520693"/>
    <w:rsid w:val="00531ECF"/>
    <w:rsid w:val="0054273D"/>
    <w:rsid w:val="0056133B"/>
    <w:rsid w:val="00576A85"/>
    <w:rsid w:val="00577B41"/>
    <w:rsid w:val="00584AA0"/>
    <w:rsid w:val="00594664"/>
    <w:rsid w:val="00597CBE"/>
    <w:rsid w:val="005A095B"/>
    <w:rsid w:val="005A6BF1"/>
    <w:rsid w:val="005C1188"/>
    <w:rsid w:val="005C397A"/>
    <w:rsid w:val="005D2C2E"/>
    <w:rsid w:val="00604ABE"/>
    <w:rsid w:val="006078B0"/>
    <w:rsid w:val="0062023C"/>
    <w:rsid w:val="006250FC"/>
    <w:rsid w:val="00631117"/>
    <w:rsid w:val="00677868"/>
    <w:rsid w:val="006A7683"/>
    <w:rsid w:val="006B4BFF"/>
    <w:rsid w:val="006E0FBB"/>
    <w:rsid w:val="006E1414"/>
    <w:rsid w:val="00702C83"/>
    <w:rsid w:val="007139A3"/>
    <w:rsid w:val="007252AC"/>
    <w:rsid w:val="00726F2A"/>
    <w:rsid w:val="00732798"/>
    <w:rsid w:val="00732895"/>
    <w:rsid w:val="00740DF9"/>
    <w:rsid w:val="00742EC1"/>
    <w:rsid w:val="007647FC"/>
    <w:rsid w:val="00790381"/>
    <w:rsid w:val="00793493"/>
    <w:rsid w:val="00793E32"/>
    <w:rsid w:val="007B610E"/>
    <w:rsid w:val="007C03FB"/>
    <w:rsid w:val="007E6A5B"/>
    <w:rsid w:val="00801691"/>
    <w:rsid w:val="008221E1"/>
    <w:rsid w:val="00830BD8"/>
    <w:rsid w:val="0085196E"/>
    <w:rsid w:val="008522F8"/>
    <w:rsid w:val="0086170F"/>
    <w:rsid w:val="00864EA7"/>
    <w:rsid w:val="00871E13"/>
    <w:rsid w:val="00891224"/>
    <w:rsid w:val="008A2137"/>
    <w:rsid w:val="008A5EE9"/>
    <w:rsid w:val="008B2ACC"/>
    <w:rsid w:val="008B58A5"/>
    <w:rsid w:val="008C017D"/>
    <w:rsid w:val="008C1667"/>
    <w:rsid w:val="008E0EC8"/>
    <w:rsid w:val="009135CC"/>
    <w:rsid w:val="00913D3B"/>
    <w:rsid w:val="0091653E"/>
    <w:rsid w:val="0092014E"/>
    <w:rsid w:val="00936274"/>
    <w:rsid w:val="00964903"/>
    <w:rsid w:val="00974250"/>
    <w:rsid w:val="0097689F"/>
    <w:rsid w:val="00980426"/>
    <w:rsid w:val="0099481A"/>
    <w:rsid w:val="009A0023"/>
    <w:rsid w:val="009A020D"/>
    <w:rsid w:val="009C247B"/>
    <w:rsid w:val="009D6D94"/>
    <w:rsid w:val="00A01242"/>
    <w:rsid w:val="00A10AA7"/>
    <w:rsid w:val="00A11293"/>
    <w:rsid w:val="00A33AD5"/>
    <w:rsid w:val="00A43D36"/>
    <w:rsid w:val="00A47696"/>
    <w:rsid w:val="00A517E5"/>
    <w:rsid w:val="00A57632"/>
    <w:rsid w:val="00A833A0"/>
    <w:rsid w:val="00AF1C8C"/>
    <w:rsid w:val="00B01E2F"/>
    <w:rsid w:val="00B27D30"/>
    <w:rsid w:val="00B30A3F"/>
    <w:rsid w:val="00B5694C"/>
    <w:rsid w:val="00B63DE0"/>
    <w:rsid w:val="00B750A3"/>
    <w:rsid w:val="00B75969"/>
    <w:rsid w:val="00B80E78"/>
    <w:rsid w:val="00B82E86"/>
    <w:rsid w:val="00B83D07"/>
    <w:rsid w:val="00B84AA5"/>
    <w:rsid w:val="00B9077F"/>
    <w:rsid w:val="00B933A7"/>
    <w:rsid w:val="00BA68D1"/>
    <w:rsid w:val="00BF1EC3"/>
    <w:rsid w:val="00BF46A5"/>
    <w:rsid w:val="00C06AF4"/>
    <w:rsid w:val="00C07C7D"/>
    <w:rsid w:val="00C260BD"/>
    <w:rsid w:val="00C274AF"/>
    <w:rsid w:val="00C46225"/>
    <w:rsid w:val="00C519A1"/>
    <w:rsid w:val="00C6641B"/>
    <w:rsid w:val="00C7399C"/>
    <w:rsid w:val="00C8138B"/>
    <w:rsid w:val="00C822BA"/>
    <w:rsid w:val="00C86BAA"/>
    <w:rsid w:val="00CB16F9"/>
    <w:rsid w:val="00CC6DCB"/>
    <w:rsid w:val="00CD0C2E"/>
    <w:rsid w:val="00CD1E23"/>
    <w:rsid w:val="00CE1624"/>
    <w:rsid w:val="00CF489B"/>
    <w:rsid w:val="00D0532D"/>
    <w:rsid w:val="00D165B0"/>
    <w:rsid w:val="00D22E8F"/>
    <w:rsid w:val="00D24529"/>
    <w:rsid w:val="00D2772C"/>
    <w:rsid w:val="00D314BC"/>
    <w:rsid w:val="00D413DF"/>
    <w:rsid w:val="00D448C6"/>
    <w:rsid w:val="00D44E29"/>
    <w:rsid w:val="00D52E88"/>
    <w:rsid w:val="00D6245D"/>
    <w:rsid w:val="00D6477B"/>
    <w:rsid w:val="00D6793E"/>
    <w:rsid w:val="00D877FC"/>
    <w:rsid w:val="00D96A8E"/>
    <w:rsid w:val="00D96DC9"/>
    <w:rsid w:val="00DA510C"/>
    <w:rsid w:val="00DB7F2F"/>
    <w:rsid w:val="00DC64A0"/>
    <w:rsid w:val="00DE3C33"/>
    <w:rsid w:val="00DE547A"/>
    <w:rsid w:val="00E27405"/>
    <w:rsid w:val="00E31375"/>
    <w:rsid w:val="00E640DC"/>
    <w:rsid w:val="00E714A4"/>
    <w:rsid w:val="00E7764E"/>
    <w:rsid w:val="00E836B6"/>
    <w:rsid w:val="00E8578E"/>
    <w:rsid w:val="00E85F97"/>
    <w:rsid w:val="00E8695A"/>
    <w:rsid w:val="00E93143"/>
    <w:rsid w:val="00EA1905"/>
    <w:rsid w:val="00EC5711"/>
    <w:rsid w:val="00ED1BBF"/>
    <w:rsid w:val="00EF444C"/>
    <w:rsid w:val="00F03BAB"/>
    <w:rsid w:val="00F61BCC"/>
    <w:rsid w:val="00F76093"/>
    <w:rsid w:val="00F86539"/>
    <w:rsid w:val="00FB13F6"/>
    <w:rsid w:val="00FB2000"/>
    <w:rsid w:val="00FE411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7028-B796-4DC9-BADD-21E46BB2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Simon Best</cp:lastModifiedBy>
  <cp:revision>2</cp:revision>
  <cp:lastPrinted>2013-03-14T23:58:00Z</cp:lastPrinted>
  <dcterms:created xsi:type="dcterms:W3CDTF">2013-03-22T00:36:00Z</dcterms:created>
  <dcterms:modified xsi:type="dcterms:W3CDTF">2013-03-22T00:36:00Z</dcterms:modified>
</cp:coreProperties>
</file>