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BB" w:rsidRPr="00DC64A0" w:rsidRDefault="00F61BCC" w:rsidP="007252AC">
      <w:pPr>
        <w:pStyle w:val="Heading1"/>
      </w:pPr>
      <w:r>
        <w:t>Western Australia</w:t>
      </w:r>
    </w:p>
    <w:p w:rsidR="00793E32" w:rsidRDefault="00793E32" w:rsidP="00793E32">
      <w:pPr>
        <w:pStyle w:val="Heading2"/>
      </w:pPr>
      <w:r w:rsidRPr="00A73FAC">
        <w:rPr>
          <w:rFonts w:ascii="Helv" w:hAnsi="Helv" w:cs="Helv"/>
          <w:color w:val="000000"/>
        </w:rPr>
        <w:t>Socio-Economic Indexes for Areas</w:t>
      </w:r>
    </w:p>
    <w:p w:rsidR="00B75969" w:rsidRDefault="00B75969" w:rsidP="00DC64A0">
      <w:pPr>
        <w:pStyle w:val="Heading2"/>
      </w:pPr>
      <w:r w:rsidRPr="00DC64A0">
        <w:t xml:space="preserve">Most advantaged and disadvantaged Local Government Areas </w:t>
      </w:r>
      <w:r w:rsidR="00D52E88" w:rsidRPr="00DC64A0">
        <w:br/>
      </w:r>
      <w:r w:rsidR="002A567D">
        <w:t xml:space="preserve">(LGAs) </w:t>
      </w:r>
      <w:r w:rsidRPr="00DC64A0">
        <w:t>by IRSAD</w:t>
      </w:r>
    </w:p>
    <w:p w:rsidR="00C260BD" w:rsidRPr="00C260BD" w:rsidRDefault="00C260BD" w:rsidP="00C260BD">
      <w:pPr>
        <w:jc w:val="center"/>
      </w:pPr>
    </w:p>
    <w:p w:rsidR="00B75969" w:rsidRPr="00433831" w:rsidRDefault="00B75969" w:rsidP="00A01242">
      <w:pPr>
        <w:pStyle w:val="Heading3"/>
        <w:rPr>
          <w:u w:val="single"/>
        </w:rPr>
      </w:pPr>
      <w:r>
        <w:t>Mo</w:t>
      </w:r>
      <w:r w:rsidR="00357B09">
        <w:t>st a</w:t>
      </w:r>
      <w:r>
        <w:t xml:space="preserve">dvantaged </w:t>
      </w:r>
      <w:r w:rsidRPr="00CC6DCB">
        <w:t>Local</w:t>
      </w:r>
      <w:r>
        <w:t xml:space="preserve"> Government Areas</w:t>
      </w:r>
    </w:p>
    <w:tbl>
      <w:tblPr>
        <w:tblStyle w:val="TableGrid"/>
        <w:tblW w:w="7380" w:type="dxa"/>
        <w:jc w:val="center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993"/>
        <w:gridCol w:w="3147"/>
        <w:gridCol w:w="3240"/>
      </w:tblGrid>
      <w:tr w:rsidR="001B54BC" w:rsidRPr="00C8138B" w:rsidTr="00793E3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1B54BC" w:rsidRPr="00C8138B" w:rsidRDefault="001B54BC" w:rsidP="009A020D">
            <w:pPr>
              <w:pStyle w:val="TableHeading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C8138B">
              <w:t>Rank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1B54BC" w:rsidRPr="00C8138B" w:rsidRDefault="001B54BC" w:rsidP="009A020D">
            <w:pPr>
              <w:pStyle w:val="TableHeading"/>
            </w:pPr>
            <w:r w:rsidRPr="00C8138B">
              <w:t>LGA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1B54BC" w:rsidRPr="00C8138B" w:rsidRDefault="001B54BC" w:rsidP="009A020D">
            <w:pPr>
              <w:pStyle w:val="TableHeading"/>
              <w:jc w:val="right"/>
            </w:pPr>
            <w:r w:rsidRPr="00C8138B">
              <w:t>Usual Resident Population</w:t>
            </w:r>
          </w:p>
        </w:tc>
      </w:tr>
      <w:tr w:rsidR="00006F5F" w:rsidRPr="002E42CC" w:rsidTr="002C5F30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006F5F" w:rsidRPr="00A01242" w:rsidRDefault="00006F5F" w:rsidP="00A01242">
            <w:pPr>
              <w:pStyle w:val="TableNumbers"/>
            </w:pPr>
            <w:r w:rsidRPr="00A01242">
              <w:t>1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006F5F" w:rsidRPr="001B6491" w:rsidRDefault="00006F5F" w:rsidP="00631117">
            <w:pPr>
              <w:pStyle w:val="TableText"/>
            </w:pPr>
            <w:r>
              <w:t>Peppermint Grove</w:t>
            </w:r>
          </w:p>
        </w:tc>
        <w:tc>
          <w:tcPr>
            <w:tcW w:w="3240" w:type="dxa"/>
            <w:shd w:val="clear" w:color="auto" w:fill="C6D9F1" w:themeFill="text2" w:themeFillTint="33"/>
          </w:tcPr>
          <w:p w:rsidR="00006F5F" w:rsidRDefault="00006F5F" w:rsidP="00A14FE2">
            <w:pPr>
              <w:pStyle w:val="TableNumbers"/>
            </w:pPr>
            <w:r>
              <w:t>1,523</w:t>
            </w:r>
          </w:p>
        </w:tc>
      </w:tr>
      <w:tr w:rsidR="00006F5F" w:rsidRPr="002E42CC" w:rsidTr="002C5F30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006F5F" w:rsidRPr="00A01242" w:rsidRDefault="00006F5F" w:rsidP="005E20D7">
            <w:pPr>
              <w:pStyle w:val="TableNumbers"/>
            </w:pPr>
            <w:r>
              <w:t>2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006F5F" w:rsidRDefault="00006F5F" w:rsidP="005E20D7">
            <w:pPr>
              <w:pStyle w:val="TableText"/>
            </w:pPr>
            <w:r>
              <w:t>Nedlands</w:t>
            </w:r>
          </w:p>
        </w:tc>
        <w:tc>
          <w:tcPr>
            <w:tcW w:w="3240" w:type="dxa"/>
            <w:shd w:val="clear" w:color="auto" w:fill="C6D9F1" w:themeFill="text2" w:themeFillTint="33"/>
          </w:tcPr>
          <w:p w:rsidR="00006F5F" w:rsidRDefault="00006F5F" w:rsidP="00A14FE2">
            <w:pPr>
              <w:pStyle w:val="TableNumbers"/>
            </w:pPr>
            <w:r>
              <w:t>20,514</w:t>
            </w:r>
          </w:p>
        </w:tc>
      </w:tr>
      <w:tr w:rsidR="00006F5F" w:rsidRPr="002E42CC" w:rsidTr="002C5F30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006F5F" w:rsidRPr="00A01242" w:rsidRDefault="00006F5F" w:rsidP="005E20D7">
            <w:pPr>
              <w:pStyle w:val="TableNumbers"/>
            </w:pPr>
            <w:r>
              <w:t>3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006F5F" w:rsidRDefault="00006F5F" w:rsidP="005E20D7">
            <w:pPr>
              <w:pStyle w:val="TableText"/>
            </w:pPr>
            <w:r>
              <w:t>Cottesloe</w:t>
            </w:r>
          </w:p>
        </w:tc>
        <w:tc>
          <w:tcPr>
            <w:tcW w:w="3240" w:type="dxa"/>
            <w:shd w:val="clear" w:color="auto" w:fill="C6D9F1" w:themeFill="text2" w:themeFillTint="33"/>
          </w:tcPr>
          <w:p w:rsidR="00006F5F" w:rsidRDefault="00006F5F" w:rsidP="00A14FE2">
            <w:pPr>
              <w:pStyle w:val="TableNumbers"/>
            </w:pPr>
            <w:r>
              <w:t>7,598</w:t>
            </w:r>
          </w:p>
        </w:tc>
      </w:tr>
      <w:tr w:rsidR="00006F5F" w:rsidRPr="002E42CC" w:rsidTr="002C5F30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006F5F" w:rsidRPr="00A01242" w:rsidRDefault="00006F5F" w:rsidP="005E20D7">
            <w:pPr>
              <w:pStyle w:val="TableNumbers"/>
            </w:pPr>
            <w:r>
              <w:t>4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006F5F" w:rsidRDefault="00006F5F" w:rsidP="005E20D7">
            <w:pPr>
              <w:pStyle w:val="TableText"/>
            </w:pPr>
            <w:r>
              <w:t>Cambridge</w:t>
            </w:r>
          </w:p>
        </w:tc>
        <w:tc>
          <w:tcPr>
            <w:tcW w:w="3240" w:type="dxa"/>
            <w:shd w:val="clear" w:color="auto" w:fill="C6D9F1" w:themeFill="text2" w:themeFillTint="33"/>
          </w:tcPr>
          <w:p w:rsidR="00006F5F" w:rsidRDefault="00006F5F" w:rsidP="00A14FE2">
            <w:pPr>
              <w:pStyle w:val="TableNumbers"/>
            </w:pPr>
            <w:r>
              <w:t>24,973</w:t>
            </w:r>
          </w:p>
        </w:tc>
      </w:tr>
      <w:tr w:rsidR="00006F5F" w:rsidRPr="002E42CC" w:rsidTr="002C5F30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006F5F" w:rsidRPr="00A01242" w:rsidRDefault="00006F5F" w:rsidP="005E20D7">
            <w:pPr>
              <w:pStyle w:val="TableNumbers"/>
            </w:pPr>
            <w:r>
              <w:t>5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006F5F" w:rsidRDefault="00006F5F" w:rsidP="005E20D7">
            <w:pPr>
              <w:pStyle w:val="TableText"/>
            </w:pPr>
            <w:r>
              <w:t>Claremont</w:t>
            </w:r>
          </w:p>
        </w:tc>
        <w:tc>
          <w:tcPr>
            <w:tcW w:w="3240" w:type="dxa"/>
            <w:shd w:val="clear" w:color="auto" w:fill="C6D9F1" w:themeFill="text2" w:themeFillTint="33"/>
          </w:tcPr>
          <w:p w:rsidR="00006F5F" w:rsidRDefault="00006F5F" w:rsidP="00A14FE2">
            <w:pPr>
              <w:pStyle w:val="TableNumbers"/>
            </w:pPr>
            <w:r>
              <w:t>9,280</w:t>
            </w:r>
          </w:p>
        </w:tc>
      </w:tr>
    </w:tbl>
    <w:p w:rsidR="00023160" w:rsidRDefault="00023160" w:rsidP="00023160">
      <w:pPr>
        <w:pStyle w:val="Heading3"/>
      </w:pPr>
    </w:p>
    <w:p w:rsidR="005D2C2E" w:rsidRPr="00433831" w:rsidRDefault="00023160" w:rsidP="00023160">
      <w:pPr>
        <w:pStyle w:val="Heading3"/>
        <w:rPr>
          <w:u w:val="single"/>
        </w:rPr>
      </w:pPr>
      <w:r>
        <w:t>Most disadvantaged Local Government Areas</w:t>
      </w:r>
    </w:p>
    <w:tbl>
      <w:tblPr>
        <w:tblStyle w:val="TableGrid"/>
        <w:tblW w:w="7380" w:type="dxa"/>
        <w:jc w:val="center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993"/>
        <w:gridCol w:w="3147"/>
        <w:gridCol w:w="3240"/>
      </w:tblGrid>
      <w:tr w:rsidR="001B54BC" w:rsidRPr="002E42CC" w:rsidTr="00793E32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1B54BC" w:rsidRPr="00A01242" w:rsidRDefault="001B54BC" w:rsidP="009A020D">
            <w:pPr>
              <w:pStyle w:val="TableHeading"/>
              <w:jc w:val="right"/>
            </w:pPr>
            <w:r w:rsidRPr="00C8138B">
              <w:t>Rank</w:t>
            </w:r>
          </w:p>
        </w:tc>
        <w:tc>
          <w:tcPr>
            <w:tcW w:w="3147" w:type="dxa"/>
            <w:shd w:val="clear" w:color="auto" w:fill="8DB3E2" w:themeFill="text2" w:themeFillTint="66"/>
            <w:vAlign w:val="center"/>
          </w:tcPr>
          <w:p w:rsidR="001B54BC" w:rsidRPr="00594664" w:rsidRDefault="001B54BC" w:rsidP="009A020D">
            <w:pPr>
              <w:pStyle w:val="TableHeading"/>
            </w:pPr>
            <w:r>
              <w:t>LGA</w:t>
            </w:r>
          </w:p>
        </w:tc>
        <w:tc>
          <w:tcPr>
            <w:tcW w:w="3240" w:type="dxa"/>
            <w:shd w:val="clear" w:color="auto" w:fill="8DB3E2" w:themeFill="text2" w:themeFillTint="66"/>
            <w:vAlign w:val="center"/>
          </w:tcPr>
          <w:p w:rsidR="001B54BC" w:rsidRPr="00594664" w:rsidRDefault="001B54BC" w:rsidP="009A020D">
            <w:pPr>
              <w:pStyle w:val="TableHeading"/>
              <w:jc w:val="right"/>
            </w:pPr>
            <w:r>
              <w:t>U</w:t>
            </w:r>
            <w:r w:rsidRPr="00594664">
              <w:t>s</w:t>
            </w:r>
            <w:r>
              <w:t>ual Resident Population</w:t>
            </w:r>
          </w:p>
        </w:tc>
      </w:tr>
      <w:tr w:rsidR="00006F5F" w:rsidRPr="002E42CC" w:rsidTr="008F5A1C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006F5F" w:rsidRPr="009C247B" w:rsidRDefault="00006F5F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1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006F5F" w:rsidRPr="001B6491" w:rsidRDefault="00006F5F" w:rsidP="00A01242">
            <w:pPr>
              <w:pStyle w:val="TableText"/>
            </w:pPr>
            <w:r>
              <w:t>Halls Creek</w:t>
            </w:r>
          </w:p>
        </w:tc>
        <w:tc>
          <w:tcPr>
            <w:tcW w:w="3240" w:type="dxa"/>
            <w:shd w:val="clear" w:color="auto" w:fill="C6D9F1" w:themeFill="text2" w:themeFillTint="33"/>
          </w:tcPr>
          <w:p w:rsidR="00006F5F" w:rsidRDefault="00006F5F" w:rsidP="00A14FE2">
            <w:pPr>
              <w:pStyle w:val="TableNumbers"/>
            </w:pPr>
            <w:r>
              <w:t>3,563</w:t>
            </w:r>
          </w:p>
        </w:tc>
      </w:tr>
      <w:tr w:rsidR="00006F5F" w:rsidRPr="002E42CC" w:rsidTr="008F5A1C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006F5F" w:rsidRPr="009C247B" w:rsidRDefault="00006F5F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2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006F5F" w:rsidRPr="001B6491" w:rsidRDefault="00006F5F" w:rsidP="00A01242">
            <w:pPr>
              <w:pStyle w:val="TableText"/>
            </w:pPr>
            <w:proofErr w:type="spellStart"/>
            <w:r>
              <w:t>Ngaanyatjarraku</w:t>
            </w:r>
            <w:proofErr w:type="spellEnd"/>
          </w:p>
        </w:tc>
        <w:tc>
          <w:tcPr>
            <w:tcW w:w="3240" w:type="dxa"/>
            <w:shd w:val="clear" w:color="auto" w:fill="C6D9F1" w:themeFill="text2" w:themeFillTint="33"/>
          </w:tcPr>
          <w:p w:rsidR="00006F5F" w:rsidRDefault="00006F5F" w:rsidP="00A14FE2">
            <w:pPr>
              <w:pStyle w:val="TableNumbers"/>
            </w:pPr>
            <w:r>
              <w:t>1,438</w:t>
            </w:r>
          </w:p>
        </w:tc>
      </w:tr>
      <w:tr w:rsidR="00006F5F" w:rsidRPr="002E42CC" w:rsidTr="008F5A1C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006F5F" w:rsidRPr="009C247B" w:rsidRDefault="00006F5F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3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006F5F" w:rsidRPr="001B6491" w:rsidRDefault="00006F5F" w:rsidP="00A01242">
            <w:pPr>
              <w:pStyle w:val="TableText"/>
            </w:pPr>
            <w:r>
              <w:t>Menzies</w:t>
            </w:r>
          </w:p>
        </w:tc>
        <w:tc>
          <w:tcPr>
            <w:tcW w:w="3240" w:type="dxa"/>
            <w:shd w:val="clear" w:color="auto" w:fill="C6D9F1" w:themeFill="text2" w:themeFillTint="33"/>
          </w:tcPr>
          <w:p w:rsidR="00006F5F" w:rsidRDefault="00006F5F" w:rsidP="00A14FE2">
            <w:pPr>
              <w:pStyle w:val="TableNumbers"/>
            </w:pPr>
            <w:r>
              <w:t>383</w:t>
            </w:r>
          </w:p>
        </w:tc>
      </w:tr>
      <w:tr w:rsidR="00006F5F" w:rsidRPr="002E42CC" w:rsidTr="008F5A1C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006F5F" w:rsidRPr="009C247B" w:rsidRDefault="00006F5F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4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006F5F" w:rsidRPr="001B6491" w:rsidRDefault="00006F5F" w:rsidP="00A01242">
            <w:pPr>
              <w:pStyle w:val="TableText"/>
            </w:pPr>
            <w:r>
              <w:t>Upper Gascoyne</w:t>
            </w:r>
          </w:p>
        </w:tc>
        <w:tc>
          <w:tcPr>
            <w:tcW w:w="3240" w:type="dxa"/>
            <w:shd w:val="clear" w:color="auto" w:fill="C6D9F1" w:themeFill="text2" w:themeFillTint="33"/>
          </w:tcPr>
          <w:p w:rsidR="00006F5F" w:rsidRDefault="00006F5F" w:rsidP="00A14FE2">
            <w:pPr>
              <w:pStyle w:val="TableNumbers"/>
            </w:pPr>
            <w:r>
              <w:t>243</w:t>
            </w:r>
          </w:p>
        </w:tc>
      </w:tr>
      <w:tr w:rsidR="00006F5F" w:rsidRPr="002E42CC" w:rsidTr="008F5A1C">
        <w:trPr>
          <w:trHeight w:val="93"/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006F5F" w:rsidRPr="009C247B" w:rsidRDefault="00006F5F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5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006F5F" w:rsidRPr="001B6491" w:rsidRDefault="00006F5F" w:rsidP="00A01242">
            <w:pPr>
              <w:pStyle w:val="TableText"/>
            </w:pPr>
            <w:r>
              <w:t>Derby-West Kimberley</w:t>
            </w:r>
          </w:p>
        </w:tc>
        <w:tc>
          <w:tcPr>
            <w:tcW w:w="3240" w:type="dxa"/>
            <w:shd w:val="clear" w:color="auto" w:fill="C6D9F1" w:themeFill="text2" w:themeFillTint="33"/>
          </w:tcPr>
          <w:p w:rsidR="00006F5F" w:rsidRDefault="00006F5F" w:rsidP="00A14FE2">
            <w:pPr>
              <w:pStyle w:val="TableNumbers"/>
            </w:pPr>
            <w:r>
              <w:t>8,455</w:t>
            </w:r>
          </w:p>
        </w:tc>
      </w:tr>
    </w:tbl>
    <w:p w:rsidR="00A01242" w:rsidRDefault="00A01242" w:rsidP="00A01242"/>
    <w:p w:rsidR="00793E32" w:rsidRPr="00F9553F" w:rsidRDefault="00793E32" w:rsidP="00793E32">
      <w:pPr>
        <w:pStyle w:val="ListParagraph"/>
        <w:numPr>
          <w:ilvl w:val="0"/>
          <w:numId w:val="6"/>
        </w:numPr>
        <w:ind w:left="357" w:hanging="357"/>
        <w:outlineLvl w:val="0"/>
        <w:rPr>
          <w:rFonts w:cs="Arial"/>
          <w:b/>
          <w:bCs/>
          <w:color w:val="4F81BD" w:themeColor="accent1"/>
          <w:sz w:val="18"/>
          <w:szCs w:val="18"/>
        </w:rPr>
      </w:pPr>
      <w:r w:rsidRPr="00AC2091">
        <w:rPr>
          <w:rFonts w:cs="Arial"/>
          <w:b/>
          <w:color w:val="4F81BD" w:themeColor="accent1"/>
          <w:sz w:val="18"/>
          <w:szCs w:val="18"/>
        </w:rPr>
        <w:t xml:space="preserve">The Index of Relative Socio-Economic Advantage and Disadvantage (IRSAD) summarises variables that indicate either relative advantage or disadvantage.  This index ranks areas on a continuum from most disadvantaged to most </w:t>
      </w:r>
      <w:proofErr w:type="gramStart"/>
      <w:r w:rsidRPr="00AC2091">
        <w:rPr>
          <w:rFonts w:cs="Arial"/>
          <w:b/>
          <w:color w:val="4F81BD" w:themeColor="accent1"/>
          <w:sz w:val="18"/>
          <w:szCs w:val="18"/>
        </w:rPr>
        <w:t>advantaged</w:t>
      </w:r>
      <w:proofErr w:type="gramEnd"/>
      <w:r w:rsidRPr="00AC2091">
        <w:rPr>
          <w:rFonts w:cs="Arial"/>
          <w:b/>
          <w:color w:val="4F81BD" w:themeColor="accent1"/>
          <w:sz w:val="18"/>
          <w:szCs w:val="18"/>
        </w:rPr>
        <w:t>.</w:t>
      </w:r>
    </w:p>
    <w:p w:rsidR="00793E32" w:rsidRPr="00ED3C4A" w:rsidRDefault="00793E32" w:rsidP="00793E32">
      <w:pPr>
        <w:pStyle w:val="ListParagraph"/>
        <w:numPr>
          <w:ilvl w:val="0"/>
          <w:numId w:val="6"/>
        </w:numPr>
        <w:ind w:left="357" w:hanging="357"/>
        <w:outlineLvl w:val="0"/>
        <w:rPr>
          <w:rFonts w:cs="Arial"/>
          <w:b/>
          <w:bCs/>
          <w:color w:val="4F81BD" w:themeColor="accent1"/>
          <w:sz w:val="18"/>
          <w:szCs w:val="18"/>
        </w:rPr>
      </w:pPr>
      <w:r>
        <w:rPr>
          <w:rFonts w:cs="Arial"/>
          <w:b/>
          <w:color w:val="4F81BD" w:themeColor="accent1"/>
          <w:sz w:val="18"/>
          <w:szCs w:val="18"/>
        </w:rPr>
        <w:t xml:space="preserve">For the purposes of </w:t>
      </w:r>
      <w:r w:rsidRPr="00492758">
        <w:rPr>
          <w:rFonts w:cs="Arial"/>
          <w:b/>
          <w:color w:val="4F81BD" w:themeColor="accent1"/>
          <w:sz w:val="18"/>
          <w:szCs w:val="18"/>
        </w:rPr>
        <w:t>Socio-Economic Indexes for Areas</w:t>
      </w:r>
      <w:r>
        <w:rPr>
          <w:rFonts w:cs="Arial"/>
          <w:b/>
          <w:color w:val="4F81BD" w:themeColor="accent1"/>
          <w:sz w:val="18"/>
          <w:szCs w:val="18"/>
        </w:rPr>
        <w:t xml:space="preserve"> (SEIFA), the ABS defines relative socio-economic advantage and disadvantage in terms of people’s access to material and social resources, and their ability to participate in society.</w:t>
      </w:r>
    </w:p>
    <w:p w:rsidR="00793E32" w:rsidRPr="00F9553F" w:rsidRDefault="00793E32" w:rsidP="00793E32">
      <w:pPr>
        <w:pStyle w:val="ListParagraph"/>
        <w:numPr>
          <w:ilvl w:val="0"/>
          <w:numId w:val="6"/>
        </w:numPr>
        <w:ind w:left="357" w:hanging="357"/>
        <w:outlineLvl w:val="0"/>
        <w:rPr>
          <w:rFonts w:cs="Arial"/>
          <w:b/>
          <w:bCs/>
          <w:color w:val="4F81BD" w:themeColor="accent1"/>
          <w:sz w:val="18"/>
          <w:szCs w:val="18"/>
        </w:rPr>
      </w:pPr>
      <w:r>
        <w:rPr>
          <w:rFonts w:cs="Arial"/>
          <w:b/>
          <w:color w:val="4F81BD" w:themeColor="accent1"/>
          <w:sz w:val="18"/>
          <w:szCs w:val="18"/>
        </w:rPr>
        <w:t xml:space="preserve">Local Government Areas </w:t>
      </w:r>
      <w:r w:rsidR="002A567D">
        <w:rPr>
          <w:rFonts w:cs="Arial"/>
          <w:b/>
          <w:color w:val="4F81BD" w:themeColor="accent1"/>
          <w:sz w:val="18"/>
          <w:szCs w:val="18"/>
        </w:rPr>
        <w:t xml:space="preserve">(LGAs) </w:t>
      </w:r>
      <w:r>
        <w:rPr>
          <w:rFonts w:cs="Arial"/>
          <w:b/>
          <w:color w:val="4F81BD" w:themeColor="accent1"/>
          <w:sz w:val="18"/>
          <w:szCs w:val="18"/>
        </w:rPr>
        <w:t>are geographical areas under the responsibility of an incorporated local government council, or an incorporated Indigenous government council.  The LGAs collectively cover only a part of Australia.</w:t>
      </w:r>
    </w:p>
    <w:p w:rsidR="00793E32" w:rsidRPr="00ED3C4A" w:rsidRDefault="00793E32" w:rsidP="00793E32">
      <w:pPr>
        <w:pStyle w:val="ListParagraph"/>
        <w:numPr>
          <w:ilvl w:val="0"/>
          <w:numId w:val="6"/>
        </w:numPr>
        <w:ind w:left="357" w:hanging="357"/>
        <w:outlineLvl w:val="0"/>
        <w:rPr>
          <w:rFonts w:cs="Arial"/>
          <w:b/>
          <w:bCs/>
          <w:color w:val="4F81BD" w:themeColor="accent1"/>
          <w:sz w:val="18"/>
          <w:szCs w:val="18"/>
        </w:rPr>
      </w:pPr>
      <w:r>
        <w:rPr>
          <w:rFonts w:cs="Arial"/>
          <w:b/>
          <w:color w:val="4F81BD" w:themeColor="accent1"/>
          <w:sz w:val="18"/>
          <w:szCs w:val="18"/>
        </w:rPr>
        <w:t xml:space="preserve">SEIFA is primarily a tool for investigating the relative advantage and disadvantage of areas at a point in time.  Comparing changes over time is </w:t>
      </w:r>
      <w:proofErr w:type="gramStart"/>
      <w:r>
        <w:rPr>
          <w:rFonts w:cs="Arial"/>
          <w:b/>
          <w:color w:val="4F81BD" w:themeColor="accent1"/>
          <w:sz w:val="18"/>
          <w:szCs w:val="18"/>
        </w:rPr>
        <w:t>possible,</w:t>
      </w:r>
      <w:proofErr w:type="gramEnd"/>
      <w:r>
        <w:rPr>
          <w:rFonts w:cs="Arial"/>
          <w:b/>
          <w:color w:val="4F81BD" w:themeColor="accent1"/>
          <w:sz w:val="18"/>
          <w:szCs w:val="18"/>
        </w:rPr>
        <w:t xml:space="preserve"> however these types of analysis can be difficult to interpret correctly.  SEIFA is a relative measure and therefore provides no information on changes over time at a national level.</w:t>
      </w:r>
    </w:p>
    <w:p w:rsidR="00414231" w:rsidRPr="00DC64A0" w:rsidRDefault="00414231">
      <w:pPr>
        <w:rPr>
          <w:rFonts w:eastAsia="Times New Roman" w:cs="Arial"/>
          <w:b/>
          <w:color w:val="000000"/>
          <w:szCs w:val="20"/>
          <w:lang w:eastAsia="en-AU"/>
        </w:rPr>
      </w:pPr>
      <w:r>
        <w:rPr>
          <w:rFonts w:eastAsia="Times New Roman" w:cs="Arial"/>
          <w:b/>
          <w:color w:val="000000"/>
          <w:sz w:val="28"/>
          <w:szCs w:val="28"/>
          <w:lang w:eastAsia="en-AU"/>
        </w:rPr>
        <w:br w:type="page"/>
      </w:r>
    </w:p>
    <w:p w:rsidR="00B75969" w:rsidRPr="002467CF" w:rsidRDefault="00F61BCC" w:rsidP="002467CF">
      <w:pPr>
        <w:pStyle w:val="Heading1"/>
      </w:pPr>
      <w:r>
        <w:lastRenderedPageBreak/>
        <w:t xml:space="preserve">Western Australia </w:t>
      </w:r>
      <w:r w:rsidR="00023160">
        <w:t>Cap</w:t>
      </w:r>
      <w:r w:rsidR="001A40A3">
        <w:t>ital City -</w:t>
      </w:r>
      <w:r w:rsidR="00C822BA">
        <w:t xml:space="preserve"> </w:t>
      </w:r>
      <w:r>
        <w:t>Perth</w:t>
      </w:r>
    </w:p>
    <w:p w:rsidR="00793E32" w:rsidRDefault="00793E32" w:rsidP="00793E32">
      <w:pPr>
        <w:pStyle w:val="Heading2"/>
      </w:pPr>
      <w:r w:rsidRPr="00A73FAC">
        <w:rPr>
          <w:rFonts w:ascii="Helv" w:hAnsi="Helv" w:cs="Helv"/>
          <w:color w:val="000000"/>
        </w:rPr>
        <w:t>Socio-Economic Indexes for Areas</w:t>
      </w:r>
    </w:p>
    <w:p w:rsidR="00B75969" w:rsidRDefault="00B75969" w:rsidP="002467CF">
      <w:pPr>
        <w:pStyle w:val="Heading2"/>
      </w:pPr>
      <w:r w:rsidRPr="002467CF">
        <w:t xml:space="preserve">Most advantaged and disadvantaged </w:t>
      </w:r>
      <w:r w:rsidR="00C260BD">
        <w:t>Statistical Areas Level 2 (SA2s)</w:t>
      </w:r>
      <w:r w:rsidR="00C260BD" w:rsidRPr="002467CF">
        <w:t xml:space="preserve"> </w:t>
      </w:r>
      <w:r w:rsidRPr="002467CF">
        <w:t>by IRSAD</w:t>
      </w:r>
    </w:p>
    <w:p w:rsidR="00C260BD" w:rsidRPr="00C260BD" w:rsidRDefault="00C260BD" w:rsidP="00C260BD">
      <w:pPr>
        <w:jc w:val="center"/>
      </w:pPr>
    </w:p>
    <w:p w:rsidR="00B75969" w:rsidRPr="002467CF" w:rsidRDefault="00B75969" w:rsidP="002467CF">
      <w:pPr>
        <w:pStyle w:val="Heading3"/>
      </w:pPr>
      <w:r w:rsidRPr="002467CF">
        <w:t>Mo</w:t>
      </w:r>
      <w:r w:rsidR="00357B09" w:rsidRPr="002467CF">
        <w:t>st a</w:t>
      </w:r>
      <w:r w:rsidRPr="002467CF">
        <w:t xml:space="preserve">dvantaged </w:t>
      </w:r>
      <w:r w:rsidR="00C260BD">
        <w:t>SA2s</w:t>
      </w:r>
    </w:p>
    <w:tbl>
      <w:tblPr>
        <w:tblStyle w:val="TableGrid"/>
        <w:tblW w:w="7494" w:type="dxa"/>
        <w:jc w:val="center"/>
        <w:tblInd w:w="-114" w:type="dxa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935"/>
        <w:gridCol w:w="3319"/>
        <w:gridCol w:w="3240"/>
      </w:tblGrid>
      <w:tr w:rsidR="001B54BC" w:rsidRPr="002E42CC" w:rsidTr="00C260BD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1B54BC" w:rsidRPr="002467CF" w:rsidRDefault="001B54BC" w:rsidP="007252AC">
            <w:pPr>
              <w:pStyle w:val="TableHeading"/>
              <w:jc w:val="right"/>
            </w:pPr>
            <w:r w:rsidRPr="00C8138B">
              <w:t>Rank</w:t>
            </w:r>
          </w:p>
        </w:tc>
        <w:tc>
          <w:tcPr>
            <w:tcW w:w="3319" w:type="dxa"/>
            <w:shd w:val="clear" w:color="auto" w:fill="8DB3E2" w:themeFill="text2" w:themeFillTint="66"/>
            <w:vAlign w:val="center"/>
          </w:tcPr>
          <w:p w:rsidR="001B54BC" w:rsidRPr="00594664" w:rsidRDefault="00C260BD" w:rsidP="007252AC">
            <w:pPr>
              <w:pStyle w:val="TableHeading"/>
            </w:pPr>
            <w:r>
              <w:t>SA2</w:t>
            </w:r>
          </w:p>
        </w:tc>
        <w:tc>
          <w:tcPr>
            <w:tcW w:w="3240" w:type="dxa"/>
            <w:shd w:val="clear" w:color="auto" w:fill="8DB3E2" w:themeFill="text2" w:themeFillTint="66"/>
            <w:vAlign w:val="center"/>
          </w:tcPr>
          <w:p w:rsidR="001B54BC" w:rsidRPr="00594664" w:rsidRDefault="001B54BC" w:rsidP="007252AC">
            <w:pPr>
              <w:pStyle w:val="TableHeading"/>
              <w:jc w:val="right"/>
            </w:pPr>
            <w:r>
              <w:t>U</w:t>
            </w:r>
            <w:r w:rsidRPr="00594664">
              <w:t>s</w:t>
            </w:r>
            <w:r>
              <w:t>ual Resident Population</w:t>
            </w:r>
          </w:p>
        </w:tc>
      </w:tr>
      <w:tr w:rsidR="00C822BA" w:rsidRPr="002E42CC" w:rsidTr="00C260BD">
        <w:trPr>
          <w:jc w:val="center"/>
        </w:trPr>
        <w:tc>
          <w:tcPr>
            <w:tcW w:w="935" w:type="dxa"/>
            <w:shd w:val="clear" w:color="auto" w:fill="8DB3E2" w:themeFill="text2" w:themeFillTint="66"/>
            <w:vAlign w:val="bottom"/>
          </w:tcPr>
          <w:p w:rsidR="00C822BA" w:rsidRPr="009C247B" w:rsidRDefault="00C822BA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1</w:t>
            </w:r>
          </w:p>
        </w:tc>
        <w:tc>
          <w:tcPr>
            <w:tcW w:w="3319" w:type="dxa"/>
            <w:shd w:val="clear" w:color="auto" w:fill="C6D9F1" w:themeFill="text2" w:themeFillTint="33"/>
            <w:vAlign w:val="bottom"/>
          </w:tcPr>
          <w:p w:rsidR="00C822BA" w:rsidRDefault="00C260BD" w:rsidP="00DF40A4">
            <w:pPr>
              <w:pStyle w:val="TableText"/>
            </w:pPr>
            <w:r>
              <w:t>North Coogee</w:t>
            </w:r>
          </w:p>
        </w:tc>
        <w:tc>
          <w:tcPr>
            <w:tcW w:w="3240" w:type="dxa"/>
            <w:shd w:val="clear" w:color="auto" w:fill="C6D9F1" w:themeFill="text2" w:themeFillTint="33"/>
            <w:vAlign w:val="bottom"/>
          </w:tcPr>
          <w:p w:rsidR="00C822BA" w:rsidRDefault="00C260BD" w:rsidP="00DF40A4">
            <w:pPr>
              <w:pStyle w:val="TableNumbers"/>
            </w:pPr>
            <w:r>
              <w:t>582</w:t>
            </w:r>
          </w:p>
        </w:tc>
      </w:tr>
      <w:tr w:rsidR="00C822BA" w:rsidRPr="002E42CC" w:rsidTr="00C260BD">
        <w:trPr>
          <w:jc w:val="center"/>
        </w:trPr>
        <w:tc>
          <w:tcPr>
            <w:tcW w:w="935" w:type="dxa"/>
            <w:shd w:val="clear" w:color="auto" w:fill="8DB3E2" w:themeFill="text2" w:themeFillTint="66"/>
            <w:vAlign w:val="bottom"/>
          </w:tcPr>
          <w:p w:rsidR="00C822BA" w:rsidRDefault="003C1880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2</w:t>
            </w:r>
          </w:p>
        </w:tc>
        <w:tc>
          <w:tcPr>
            <w:tcW w:w="3319" w:type="dxa"/>
            <w:shd w:val="clear" w:color="auto" w:fill="C6D9F1" w:themeFill="text2" w:themeFillTint="33"/>
            <w:vAlign w:val="bottom"/>
          </w:tcPr>
          <w:p w:rsidR="00C822BA" w:rsidRPr="001B6491" w:rsidRDefault="00C260BD" w:rsidP="00DF40A4">
            <w:pPr>
              <w:pStyle w:val="TableText"/>
            </w:pPr>
            <w:r>
              <w:t>Iluka-Burns Beach</w:t>
            </w:r>
          </w:p>
        </w:tc>
        <w:tc>
          <w:tcPr>
            <w:tcW w:w="3240" w:type="dxa"/>
            <w:shd w:val="clear" w:color="auto" w:fill="C6D9F1" w:themeFill="text2" w:themeFillTint="33"/>
            <w:vAlign w:val="bottom"/>
          </w:tcPr>
          <w:p w:rsidR="00C822BA" w:rsidRPr="001B6491" w:rsidRDefault="00C260BD" w:rsidP="00DF40A4">
            <w:pPr>
              <w:pStyle w:val="TableNumbers"/>
            </w:pPr>
            <w:r>
              <w:t>6,170</w:t>
            </w:r>
          </w:p>
        </w:tc>
      </w:tr>
      <w:tr w:rsidR="00C822BA" w:rsidRPr="002E42CC" w:rsidTr="00C260BD">
        <w:trPr>
          <w:jc w:val="center"/>
        </w:trPr>
        <w:tc>
          <w:tcPr>
            <w:tcW w:w="935" w:type="dxa"/>
            <w:shd w:val="clear" w:color="auto" w:fill="8DB3E2" w:themeFill="text2" w:themeFillTint="66"/>
            <w:vAlign w:val="bottom"/>
          </w:tcPr>
          <w:p w:rsidR="00C822BA" w:rsidRDefault="003C1880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3</w:t>
            </w:r>
          </w:p>
        </w:tc>
        <w:tc>
          <w:tcPr>
            <w:tcW w:w="3319" w:type="dxa"/>
            <w:shd w:val="clear" w:color="auto" w:fill="C6D9F1" w:themeFill="text2" w:themeFillTint="33"/>
            <w:vAlign w:val="bottom"/>
          </w:tcPr>
          <w:p w:rsidR="00C822BA" w:rsidRDefault="004F57B2" w:rsidP="00DF40A4">
            <w:pPr>
              <w:pStyle w:val="TableText"/>
            </w:pPr>
            <w:r>
              <w:t>City</w:t>
            </w:r>
            <w:r w:rsidR="00C260BD">
              <w:t xml:space="preserve"> Beach</w:t>
            </w:r>
          </w:p>
        </w:tc>
        <w:tc>
          <w:tcPr>
            <w:tcW w:w="3240" w:type="dxa"/>
            <w:shd w:val="clear" w:color="auto" w:fill="C6D9F1" w:themeFill="text2" w:themeFillTint="33"/>
            <w:vAlign w:val="bottom"/>
          </w:tcPr>
          <w:p w:rsidR="00C822BA" w:rsidRDefault="00C260BD" w:rsidP="00DF40A4">
            <w:pPr>
              <w:pStyle w:val="TableNumbers"/>
            </w:pPr>
            <w:r>
              <w:t>6,355</w:t>
            </w:r>
          </w:p>
        </w:tc>
      </w:tr>
      <w:tr w:rsidR="00C822BA" w:rsidRPr="002E42CC" w:rsidTr="00C260BD">
        <w:trPr>
          <w:jc w:val="center"/>
        </w:trPr>
        <w:tc>
          <w:tcPr>
            <w:tcW w:w="935" w:type="dxa"/>
            <w:shd w:val="clear" w:color="auto" w:fill="8DB3E2" w:themeFill="text2" w:themeFillTint="66"/>
            <w:vAlign w:val="bottom"/>
          </w:tcPr>
          <w:p w:rsidR="00C822BA" w:rsidRDefault="003C1880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4</w:t>
            </w:r>
          </w:p>
        </w:tc>
        <w:tc>
          <w:tcPr>
            <w:tcW w:w="3319" w:type="dxa"/>
            <w:shd w:val="clear" w:color="auto" w:fill="C6D9F1" w:themeFill="text2" w:themeFillTint="33"/>
            <w:vAlign w:val="bottom"/>
          </w:tcPr>
          <w:p w:rsidR="00C822BA" w:rsidRDefault="00C260BD" w:rsidP="00DF40A4">
            <w:pPr>
              <w:pStyle w:val="TableText"/>
            </w:pPr>
            <w:r>
              <w:t>Floreat</w:t>
            </w:r>
          </w:p>
        </w:tc>
        <w:tc>
          <w:tcPr>
            <w:tcW w:w="3240" w:type="dxa"/>
            <w:shd w:val="clear" w:color="auto" w:fill="C6D9F1" w:themeFill="text2" w:themeFillTint="33"/>
            <w:vAlign w:val="bottom"/>
          </w:tcPr>
          <w:p w:rsidR="00C822BA" w:rsidRDefault="00C260BD" w:rsidP="00DF40A4">
            <w:pPr>
              <w:pStyle w:val="TableNumbers"/>
            </w:pPr>
            <w:r>
              <w:t>7,240</w:t>
            </w:r>
          </w:p>
        </w:tc>
      </w:tr>
      <w:tr w:rsidR="003C1880" w:rsidRPr="002E42CC" w:rsidTr="00C260BD">
        <w:trPr>
          <w:jc w:val="center"/>
        </w:trPr>
        <w:tc>
          <w:tcPr>
            <w:tcW w:w="935" w:type="dxa"/>
            <w:shd w:val="clear" w:color="auto" w:fill="8DB3E2" w:themeFill="text2" w:themeFillTint="66"/>
            <w:vAlign w:val="bottom"/>
          </w:tcPr>
          <w:p w:rsidR="003C1880" w:rsidRDefault="003C1880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5</w:t>
            </w:r>
          </w:p>
        </w:tc>
        <w:tc>
          <w:tcPr>
            <w:tcW w:w="3319" w:type="dxa"/>
            <w:shd w:val="clear" w:color="auto" w:fill="C6D9F1" w:themeFill="text2" w:themeFillTint="33"/>
            <w:vAlign w:val="bottom"/>
          </w:tcPr>
          <w:p w:rsidR="003C1880" w:rsidRDefault="003C1880" w:rsidP="00DF40A4">
            <w:pPr>
              <w:pStyle w:val="TableText"/>
            </w:pPr>
            <w:r>
              <w:t>Cottesloe</w:t>
            </w:r>
          </w:p>
        </w:tc>
        <w:tc>
          <w:tcPr>
            <w:tcW w:w="3240" w:type="dxa"/>
            <w:shd w:val="clear" w:color="auto" w:fill="C6D9F1" w:themeFill="text2" w:themeFillTint="33"/>
            <w:vAlign w:val="bottom"/>
          </w:tcPr>
          <w:p w:rsidR="003C1880" w:rsidRDefault="003C1880" w:rsidP="00DF40A4">
            <w:pPr>
              <w:pStyle w:val="TableNumbers"/>
            </w:pPr>
            <w:r>
              <w:t>7,393</w:t>
            </w:r>
          </w:p>
        </w:tc>
      </w:tr>
    </w:tbl>
    <w:p w:rsidR="00C260BD" w:rsidRDefault="00C260BD" w:rsidP="00CC6DCB">
      <w:pPr>
        <w:pStyle w:val="Heading3"/>
      </w:pPr>
    </w:p>
    <w:p w:rsidR="00B75969" w:rsidRPr="00433831" w:rsidRDefault="00357B09" w:rsidP="00CC6DCB">
      <w:pPr>
        <w:pStyle w:val="Heading3"/>
        <w:rPr>
          <w:u w:val="single"/>
        </w:rPr>
      </w:pPr>
      <w:r>
        <w:t>Most d</w:t>
      </w:r>
      <w:r w:rsidR="00B75969">
        <w:t xml:space="preserve">isadvantaged </w:t>
      </w:r>
      <w:r w:rsidR="00C260BD">
        <w:t>SA2</w:t>
      </w:r>
      <w:r>
        <w:t>s</w:t>
      </w:r>
    </w:p>
    <w:tbl>
      <w:tblPr>
        <w:tblStyle w:val="TableGrid"/>
        <w:tblW w:w="7494" w:type="dxa"/>
        <w:jc w:val="center"/>
        <w:tblInd w:w="-114" w:type="dxa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935"/>
        <w:gridCol w:w="3319"/>
        <w:gridCol w:w="3240"/>
      </w:tblGrid>
      <w:tr w:rsidR="001B54BC" w:rsidRPr="002E42CC" w:rsidTr="00C260BD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1B54BC" w:rsidRPr="002467CF" w:rsidRDefault="001B54BC" w:rsidP="007252AC">
            <w:pPr>
              <w:pStyle w:val="TableHeading"/>
              <w:jc w:val="right"/>
            </w:pPr>
            <w:r w:rsidRPr="00C8138B">
              <w:t>Rank</w:t>
            </w:r>
          </w:p>
        </w:tc>
        <w:tc>
          <w:tcPr>
            <w:tcW w:w="3319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1B54BC" w:rsidRPr="00594664" w:rsidRDefault="00C260BD" w:rsidP="007252AC">
            <w:pPr>
              <w:pStyle w:val="TableHeading"/>
            </w:pPr>
            <w:r>
              <w:t>SA2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1B54BC" w:rsidRPr="00594664" w:rsidRDefault="001B54BC" w:rsidP="007252AC">
            <w:pPr>
              <w:pStyle w:val="TableHeading"/>
              <w:jc w:val="right"/>
            </w:pPr>
            <w:r>
              <w:t>U</w:t>
            </w:r>
            <w:r w:rsidRPr="00594664">
              <w:t>s</w:t>
            </w:r>
            <w:r>
              <w:t>ual Resident Population</w:t>
            </w:r>
          </w:p>
        </w:tc>
      </w:tr>
      <w:tr w:rsidR="00FB13F6" w:rsidRPr="002E42CC" w:rsidTr="00C260BD">
        <w:trPr>
          <w:jc w:val="center"/>
        </w:trPr>
        <w:tc>
          <w:tcPr>
            <w:tcW w:w="935" w:type="dxa"/>
            <w:shd w:val="clear" w:color="auto" w:fill="8DB3E2" w:themeFill="text2" w:themeFillTint="66"/>
            <w:vAlign w:val="bottom"/>
          </w:tcPr>
          <w:p w:rsidR="00FB13F6" w:rsidRDefault="00FB13F6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1</w:t>
            </w:r>
          </w:p>
        </w:tc>
        <w:tc>
          <w:tcPr>
            <w:tcW w:w="3319" w:type="dxa"/>
            <w:shd w:val="clear" w:color="auto" w:fill="C6D9F1" w:themeFill="text2" w:themeFillTint="33"/>
            <w:vAlign w:val="bottom"/>
          </w:tcPr>
          <w:p w:rsidR="00FB13F6" w:rsidRDefault="00C260BD" w:rsidP="002467CF">
            <w:pPr>
              <w:pStyle w:val="TableText"/>
            </w:pPr>
            <w:r>
              <w:t>Mandurah</w:t>
            </w:r>
          </w:p>
        </w:tc>
        <w:tc>
          <w:tcPr>
            <w:tcW w:w="3240" w:type="dxa"/>
            <w:shd w:val="clear" w:color="auto" w:fill="C6D9F1" w:themeFill="text2" w:themeFillTint="33"/>
            <w:vAlign w:val="bottom"/>
          </w:tcPr>
          <w:p w:rsidR="00FB13F6" w:rsidRDefault="00C260BD" w:rsidP="002467CF">
            <w:pPr>
              <w:pStyle w:val="TableNumbers"/>
            </w:pPr>
            <w:r>
              <w:t>8,566</w:t>
            </w:r>
          </w:p>
        </w:tc>
      </w:tr>
      <w:tr w:rsidR="001B54BC" w:rsidRPr="002E42CC" w:rsidTr="00C260BD">
        <w:trPr>
          <w:jc w:val="center"/>
        </w:trPr>
        <w:tc>
          <w:tcPr>
            <w:tcW w:w="935" w:type="dxa"/>
            <w:shd w:val="clear" w:color="auto" w:fill="8DB3E2" w:themeFill="text2" w:themeFillTint="66"/>
            <w:vAlign w:val="bottom"/>
          </w:tcPr>
          <w:p w:rsidR="001B54BC" w:rsidRDefault="00FB13F6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2</w:t>
            </w:r>
          </w:p>
        </w:tc>
        <w:tc>
          <w:tcPr>
            <w:tcW w:w="3319" w:type="dxa"/>
            <w:shd w:val="clear" w:color="auto" w:fill="C6D9F1" w:themeFill="text2" w:themeFillTint="33"/>
            <w:vAlign w:val="bottom"/>
          </w:tcPr>
          <w:p w:rsidR="001B54BC" w:rsidRPr="001B6491" w:rsidRDefault="008A2137" w:rsidP="008A2137">
            <w:pPr>
              <w:pStyle w:val="TableText"/>
            </w:pPr>
            <w:r>
              <w:t>Balga-Mirrabooka</w:t>
            </w:r>
          </w:p>
        </w:tc>
        <w:tc>
          <w:tcPr>
            <w:tcW w:w="3240" w:type="dxa"/>
            <w:shd w:val="clear" w:color="auto" w:fill="C6D9F1" w:themeFill="text2" w:themeFillTint="33"/>
            <w:vAlign w:val="bottom"/>
          </w:tcPr>
          <w:p w:rsidR="001B54BC" w:rsidRPr="001B6491" w:rsidRDefault="00C260BD" w:rsidP="002467CF">
            <w:pPr>
              <w:pStyle w:val="TableNumbers"/>
            </w:pPr>
            <w:r>
              <w:t>18,035</w:t>
            </w:r>
          </w:p>
        </w:tc>
      </w:tr>
      <w:tr w:rsidR="001B54BC" w:rsidRPr="002E42CC" w:rsidTr="00C260BD">
        <w:trPr>
          <w:jc w:val="center"/>
        </w:trPr>
        <w:tc>
          <w:tcPr>
            <w:tcW w:w="935" w:type="dxa"/>
            <w:shd w:val="clear" w:color="auto" w:fill="8DB3E2" w:themeFill="text2" w:themeFillTint="66"/>
            <w:vAlign w:val="bottom"/>
          </w:tcPr>
          <w:p w:rsidR="001B54BC" w:rsidRDefault="00FB13F6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3</w:t>
            </w:r>
          </w:p>
        </w:tc>
        <w:tc>
          <w:tcPr>
            <w:tcW w:w="3319" w:type="dxa"/>
            <w:shd w:val="clear" w:color="auto" w:fill="C6D9F1" w:themeFill="text2" w:themeFillTint="33"/>
            <w:vAlign w:val="bottom"/>
          </w:tcPr>
          <w:p w:rsidR="001B54BC" w:rsidRPr="001B6491" w:rsidRDefault="008A2137" w:rsidP="002467CF">
            <w:pPr>
              <w:pStyle w:val="TableText"/>
            </w:pPr>
            <w:r>
              <w:t>Armadale-Wungong-</w:t>
            </w:r>
            <w:proofErr w:type="spellStart"/>
            <w:r w:rsidR="00C260BD">
              <w:t>Brookdale</w:t>
            </w:r>
            <w:proofErr w:type="spellEnd"/>
          </w:p>
        </w:tc>
        <w:tc>
          <w:tcPr>
            <w:tcW w:w="3240" w:type="dxa"/>
            <w:shd w:val="clear" w:color="auto" w:fill="C6D9F1" w:themeFill="text2" w:themeFillTint="33"/>
            <w:vAlign w:val="bottom"/>
          </w:tcPr>
          <w:p w:rsidR="001B54BC" w:rsidRPr="001B6491" w:rsidRDefault="00C260BD" w:rsidP="002467CF">
            <w:pPr>
              <w:pStyle w:val="TableNumbers"/>
            </w:pPr>
            <w:r>
              <w:t>16,259</w:t>
            </w:r>
          </w:p>
        </w:tc>
      </w:tr>
      <w:tr w:rsidR="001B54BC" w:rsidRPr="002E42CC" w:rsidTr="00C260BD">
        <w:trPr>
          <w:jc w:val="center"/>
        </w:trPr>
        <w:tc>
          <w:tcPr>
            <w:tcW w:w="935" w:type="dxa"/>
            <w:shd w:val="clear" w:color="auto" w:fill="8DB3E2" w:themeFill="text2" w:themeFillTint="66"/>
            <w:vAlign w:val="bottom"/>
          </w:tcPr>
          <w:p w:rsidR="001B54BC" w:rsidRDefault="00FB13F6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4</w:t>
            </w:r>
          </w:p>
        </w:tc>
        <w:tc>
          <w:tcPr>
            <w:tcW w:w="3319" w:type="dxa"/>
            <w:shd w:val="clear" w:color="auto" w:fill="C6D9F1" w:themeFill="text2" w:themeFillTint="33"/>
            <w:vAlign w:val="bottom"/>
          </w:tcPr>
          <w:p w:rsidR="001B54BC" w:rsidRDefault="00C260BD" w:rsidP="002467CF">
            <w:pPr>
              <w:pStyle w:val="TableText"/>
            </w:pPr>
            <w:r>
              <w:t>Girrawheen</w:t>
            </w:r>
          </w:p>
        </w:tc>
        <w:tc>
          <w:tcPr>
            <w:tcW w:w="3240" w:type="dxa"/>
            <w:shd w:val="clear" w:color="auto" w:fill="C6D9F1" w:themeFill="text2" w:themeFillTint="33"/>
            <w:vAlign w:val="bottom"/>
          </w:tcPr>
          <w:p w:rsidR="001B54BC" w:rsidRDefault="00C260BD" w:rsidP="002467CF">
            <w:pPr>
              <w:pStyle w:val="TableNumbers"/>
            </w:pPr>
            <w:r>
              <w:t>8,341</w:t>
            </w:r>
          </w:p>
        </w:tc>
      </w:tr>
      <w:tr w:rsidR="001B54BC" w:rsidRPr="002E42CC" w:rsidTr="00C260BD">
        <w:trPr>
          <w:jc w:val="center"/>
        </w:trPr>
        <w:tc>
          <w:tcPr>
            <w:tcW w:w="935" w:type="dxa"/>
            <w:shd w:val="clear" w:color="auto" w:fill="8DB3E2" w:themeFill="text2" w:themeFillTint="66"/>
            <w:vAlign w:val="bottom"/>
          </w:tcPr>
          <w:p w:rsidR="001B54BC" w:rsidRDefault="00FB13F6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5</w:t>
            </w:r>
          </w:p>
        </w:tc>
        <w:tc>
          <w:tcPr>
            <w:tcW w:w="3319" w:type="dxa"/>
            <w:shd w:val="clear" w:color="auto" w:fill="C6D9F1" w:themeFill="text2" w:themeFillTint="33"/>
            <w:vAlign w:val="bottom"/>
          </w:tcPr>
          <w:p w:rsidR="001B54BC" w:rsidRDefault="00C260BD" w:rsidP="002467CF">
            <w:pPr>
              <w:pStyle w:val="TableText"/>
            </w:pPr>
            <w:r>
              <w:t>Calista</w:t>
            </w:r>
          </w:p>
        </w:tc>
        <w:tc>
          <w:tcPr>
            <w:tcW w:w="3240" w:type="dxa"/>
            <w:shd w:val="clear" w:color="auto" w:fill="C6D9F1" w:themeFill="text2" w:themeFillTint="33"/>
            <w:vAlign w:val="bottom"/>
          </w:tcPr>
          <w:p w:rsidR="001B54BC" w:rsidRDefault="00C260BD" w:rsidP="002467CF">
            <w:pPr>
              <w:pStyle w:val="TableNumbers"/>
            </w:pPr>
            <w:r>
              <w:t>7,380</w:t>
            </w:r>
          </w:p>
        </w:tc>
      </w:tr>
    </w:tbl>
    <w:p w:rsidR="002467CF" w:rsidRDefault="002467CF" w:rsidP="002467CF"/>
    <w:p w:rsidR="00793E32" w:rsidRPr="00F9553F" w:rsidRDefault="00793E32" w:rsidP="00793E32">
      <w:pPr>
        <w:pStyle w:val="ListParagraph"/>
        <w:numPr>
          <w:ilvl w:val="0"/>
          <w:numId w:val="6"/>
        </w:numPr>
        <w:ind w:left="357" w:hanging="357"/>
        <w:outlineLvl w:val="0"/>
        <w:rPr>
          <w:rFonts w:cs="Arial"/>
          <w:b/>
          <w:bCs/>
          <w:color w:val="4F81BD" w:themeColor="accent1"/>
          <w:sz w:val="18"/>
          <w:szCs w:val="18"/>
        </w:rPr>
      </w:pPr>
      <w:r w:rsidRPr="00AC2091">
        <w:rPr>
          <w:rFonts w:cs="Arial"/>
          <w:b/>
          <w:color w:val="4F81BD" w:themeColor="accent1"/>
          <w:sz w:val="18"/>
          <w:szCs w:val="18"/>
        </w:rPr>
        <w:t xml:space="preserve">The Index of Relative Socio-Economic Advantage and Disadvantage (IRSAD) summarises variables that indicate either relative advantage or disadvantage.  This index ranks areas on a continuum from most disadvantaged to most </w:t>
      </w:r>
      <w:proofErr w:type="gramStart"/>
      <w:r w:rsidRPr="00AC2091">
        <w:rPr>
          <w:rFonts w:cs="Arial"/>
          <w:b/>
          <w:color w:val="4F81BD" w:themeColor="accent1"/>
          <w:sz w:val="18"/>
          <w:szCs w:val="18"/>
        </w:rPr>
        <w:t>advantaged</w:t>
      </w:r>
      <w:proofErr w:type="gramEnd"/>
      <w:r w:rsidRPr="00AC2091">
        <w:rPr>
          <w:rFonts w:cs="Arial"/>
          <w:b/>
          <w:color w:val="4F81BD" w:themeColor="accent1"/>
          <w:sz w:val="18"/>
          <w:szCs w:val="18"/>
        </w:rPr>
        <w:t>.</w:t>
      </w:r>
    </w:p>
    <w:p w:rsidR="00793E32" w:rsidRPr="00F9553F" w:rsidRDefault="00793E32" w:rsidP="00793E32">
      <w:pPr>
        <w:pStyle w:val="ListParagraph"/>
        <w:numPr>
          <w:ilvl w:val="0"/>
          <w:numId w:val="6"/>
        </w:numPr>
        <w:ind w:left="357" w:hanging="357"/>
        <w:outlineLvl w:val="0"/>
        <w:rPr>
          <w:rFonts w:cs="Arial"/>
          <w:b/>
          <w:bCs/>
          <w:color w:val="4F81BD" w:themeColor="accent1"/>
          <w:sz w:val="18"/>
          <w:szCs w:val="18"/>
        </w:rPr>
      </w:pPr>
      <w:r>
        <w:rPr>
          <w:rFonts w:cs="Arial"/>
          <w:b/>
          <w:color w:val="4F81BD" w:themeColor="accent1"/>
          <w:sz w:val="18"/>
          <w:szCs w:val="18"/>
        </w:rPr>
        <w:t xml:space="preserve">For the purposes of </w:t>
      </w:r>
      <w:r w:rsidRPr="00492758">
        <w:rPr>
          <w:rFonts w:cs="Arial"/>
          <w:b/>
          <w:color w:val="4F81BD" w:themeColor="accent1"/>
          <w:sz w:val="18"/>
          <w:szCs w:val="18"/>
        </w:rPr>
        <w:t>Socio-Economic Indexes for Areas</w:t>
      </w:r>
      <w:r>
        <w:rPr>
          <w:rFonts w:cs="Arial"/>
          <w:b/>
          <w:color w:val="4F81BD" w:themeColor="accent1"/>
          <w:sz w:val="18"/>
          <w:szCs w:val="18"/>
        </w:rPr>
        <w:t xml:space="preserve"> (SEIFA), the ABS defines relative socio-economic advantage and disadvantage in terms of people’s access to material and social resources, and their ability to participate in society.</w:t>
      </w:r>
    </w:p>
    <w:p w:rsidR="005A6BF1" w:rsidRPr="00B05A86" w:rsidRDefault="005A6BF1" w:rsidP="005A6BF1">
      <w:pPr>
        <w:pStyle w:val="ListParagraph"/>
        <w:numPr>
          <w:ilvl w:val="0"/>
          <w:numId w:val="6"/>
        </w:numPr>
        <w:ind w:left="357" w:hanging="357"/>
        <w:outlineLvl w:val="0"/>
        <w:rPr>
          <w:rFonts w:cs="Arial"/>
          <w:b/>
          <w:bCs/>
          <w:color w:val="4F81BD" w:themeColor="accent1"/>
          <w:sz w:val="18"/>
          <w:szCs w:val="18"/>
        </w:rPr>
      </w:pPr>
      <w:r>
        <w:rPr>
          <w:rFonts w:cs="Arial"/>
          <w:b/>
          <w:color w:val="4F81BD" w:themeColor="accent1"/>
          <w:sz w:val="18"/>
          <w:szCs w:val="18"/>
        </w:rPr>
        <w:t xml:space="preserve">Statistical Areas Level 2 (SA2s) </w:t>
      </w:r>
      <w:proofErr w:type="gramStart"/>
      <w:r>
        <w:rPr>
          <w:rFonts w:cs="Arial"/>
          <w:b/>
          <w:color w:val="4F81BD" w:themeColor="accent1"/>
          <w:sz w:val="18"/>
          <w:szCs w:val="18"/>
        </w:rPr>
        <w:t>are</w:t>
      </w:r>
      <w:proofErr w:type="gramEnd"/>
      <w:r>
        <w:rPr>
          <w:rFonts w:cs="Arial"/>
          <w:b/>
          <w:color w:val="4F81BD" w:themeColor="accent1"/>
          <w:sz w:val="18"/>
          <w:szCs w:val="18"/>
        </w:rPr>
        <w:t xml:space="preserve"> medium-sized general purpose areas built up from whole Statistical Areas Level 1 (SA1s), which cover all of Australia.  Their aim is to represent a community that interacts together socially and economically.</w:t>
      </w:r>
    </w:p>
    <w:p w:rsidR="00B9077F" w:rsidRPr="00B9077F" w:rsidRDefault="005A6BF1" w:rsidP="00B9077F">
      <w:pPr>
        <w:pStyle w:val="ListParagraph"/>
        <w:numPr>
          <w:ilvl w:val="0"/>
          <w:numId w:val="6"/>
        </w:numPr>
        <w:ind w:left="357" w:hanging="357"/>
        <w:outlineLvl w:val="0"/>
        <w:rPr>
          <w:rFonts w:cs="Arial"/>
          <w:b/>
          <w:bCs/>
          <w:color w:val="4F81BD" w:themeColor="accent1"/>
          <w:sz w:val="18"/>
          <w:szCs w:val="18"/>
        </w:rPr>
      </w:pPr>
      <w:r>
        <w:rPr>
          <w:rFonts w:cs="Arial"/>
          <w:b/>
          <w:color w:val="4F81BD" w:themeColor="accent1"/>
          <w:sz w:val="18"/>
          <w:szCs w:val="18"/>
        </w:rPr>
        <w:t>SA2s have an average population of around 10,000 people.  In urba</w:t>
      </w:r>
      <w:r w:rsidR="002A567D">
        <w:rPr>
          <w:rFonts w:cs="Arial"/>
          <w:b/>
          <w:color w:val="4F81BD" w:themeColor="accent1"/>
          <w:sz w:val="18"/>
          <w:szCs w:val="18"/>
        </w:rPr>
        <w:t>n areas SA2s generally reflect one</w:t>
      </w:r>
      <w:r>
        <w:rPr>
          <w:rFonts w:cs="Arial"/>
          <w:b/>
          <w:color w:val="4F81BD" w:themeColor="accent1"/>
          <w:sz w:val="18"/>
          <w:szCs w:val="18"/>
        </w:rPr>
        <w:t xml:space="preserve"> or more gazetted suburbs.  Large suburbs may be split into multiple SA2s.  In regional areas, one or more SA2s represent a regional centre and the area it services.</w:t>
      </w:r>
    </w:p>
    <w:p w:rsidR="005A6BF1" w:rsidRPr="00B9077F" w:rsidRDefault="005A6BF1" w:rsidP="005A6BF1">
      <w:pPr>
        <w:pStyle w:val="ListParagraph"/>
        <w:numPr>
          <w:ilvl w:val="0"/>
          <w:numId w:val="6"/>
        </w:numPr>
        <w:ind w:left="357" w:hanging="357"/>
        <w:outlineLvl w:val="0"/>
        <w:rPr>
          <w:rFonts w:cs="Arial"/>
          <w:b/>
          <w:bCs/>
          <w:color w:val="4F81BD" w:themeColor="accent1"/>
          <w:sz w:val="18"/>
          <w:szCs w:val="18"/>
        </w:rPr>
      </w:pPr>
      <w:r>
        <w:rPr>
          <w:rFonts w:cs="Arial"/>
          <w:b/>
          <w:color w:val="4F81BD" w:themeColor="accent1"/>
          <w:sz w:val="18"/>
          <w:szCs w:val="18"/>
        </w:rPr>
        <w:t>While SA2s can be referred to generally as areas, they should not be referred to as suburbs or LGAs.</w:t>
      </w:r>
    </w:p>
    <w:p w:rsidR="00B9077F" w:rsidRPr="00F9553F" w:rsidRDefault="00B9077F" w:rsidP="005A6BF1">
      <w:pPr>
        <w:pStyle w:val="ListParagraph"/>
        <w:numPr>
          <w:ilvl w:val="0"/>
          <w:numId w:val="6"/>
        </w:numPr>
        <w:ind w:left="357" w:hanging="357"/>
        <w:outlineLvl w:val="0"/>
        <w:rPr>
          <w:rFonts w:cs="Arial"/>
          <w:b/>
          <w:bCs/>
          <w:color w:val="4F81BD" w:themeColor="accent1"/>
          <w:sz w:val="18"/>
          <w:szCs w:val="18"/>
        </w:rPr>
      </w:pPr>
      <w:r w:rsidRPr="00B9077F">
        <w:rPr>
          <w:rFonts w:cs="Arial"/>
          <w:b/>
          <w:color w:val="4F81BD" w:themeColor="accent1"/>
          <w:sz w:val="18"/>
          <w:szCs w:val="18"/>
        </w:rPr>
        <w:t>For</w:t>
      </w:r>
      <w:r>
        <w:rPr>
          <w:rFonts w:ascii="Cambria" w:hAnsi="Cambria" w:cs="Cambria"/>
          <w:color w:val="000000"/>
          <w:sz w:val="28"/>
          <w:szCs w:val="28"/>
        </w:rPr>
        <w:t xml:space="preserve"> </w:t>
      </w:r>
      <w:r w:rsidRPr="00B9077F">
        <w:rPr>
          <w:rFonts w:cs="Arial"/>
          <w:b/>
          <w:color w:val="4F81BD" w:themeColor="accent1"/>
          <w:sz w:val="18"/>
          <w:szCs w:val="18"/>
        </w:rPr>
        <w:t>the purposes of this table, the SA2 Kings Park has been removed due to its low population.</w:t>
      </w:r>
    </w:p>
    <w:p w:rsidR="00B75969" w:rsidRPr="00793E32" w:rsidRDefault="00793E32" w:rsidP="00793E32">
      <w:pPr>
        <w:pStyle w:val="ListParagraph"/>
        <w:numPr>
          <w:ilvl w:val="0"/>
          <w:numId w:val="6"/>
        </w:numPr>
        <w:ind w:left="357" w:hanging="357"/>
        <w:outlineLvl w:val="0"/>
        <w:rPr>
          <w:rFonts w:cs="Arial"/>
          <w:b/>
          <w:bCs/>
          <w:color w:val="4F81BD" w:themeColor="accent1"/>
          <w:sz w:val="18"/>
          <w:szCs w:val="18"/>
        </w:rPr>
      </w:pPr>
      <w:r>
        <w:rPr>
          <w:rFonts w:cs="Arial"/>
          <w:b/>
          <w:color w:val="4F81BD" w:themeColor="accent1"/>
          <w:sz w:val="18"/>
          <w:szCs w:val="18"/>
        </w:rPr>
        <w:t xml:space="preserve">SEIFA is primarily a tool for investigating the relative advantage and disadvantage of areas at a point in time.  Comparing changes over time is </w:t>
      </w:r>
      <w:proofErr w:type="gramStart"/>
      <w:r>
        <w:rPr>
          <w:rFonts w:cs="Arial"/>
          <w:b/>
          <w:color w:val="4F81BD" w:themeColor="accent1"/>
          <w:sz w:val="18"/>
          <w:szCs w:val="18"/>
        </w:rPr>
        <w:t>possible,</w:t>
      </w:r>
      <w:proofErr w:type="gramEnd"/>
      <w:r>
        <w:rPr>
          <w:rFonts w:cs="Arial"/>
          <w:b/>
          <w:color w:val="4F81BD" w:themeColor="accent1"/>
          <w:sz w:val="18"/>
          <w:szCs w:val="18"/>
        </w:rPr>
        <w:t xml:space="preserve"> however these types of analysis can be difficult to interpret correctly.  SEIFA is a relative measure and therefore provides no information on changes over time at a national level.</w:t>
      </w:r>
      <w:bookmarkStart w:id="0" w:name="_GoBack"/>
      <w:bookmarkEnd w:id="0"/>
    </w:p>
    <w:sectPr w:rsidR="00B75969" w:rsidRPr="00793E32" w:rsidSect="002467CF">
      <w:headerReference w:type="default" r:id="rId9"/>
      <w:footerReference w:type="default" r:id="rId10"/>
      <w:type w:val="continuous"/>
      <w:pgSz w:w="11906" w:h="16838"/>
      <w:pgMar w:top="340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75" w:rsidRDefault="00E31375" w:rsidP="00FB2000">
      <w:pPr>
        <w:spacing w:after="0" w:line="240" w:lineRule="auto"/>
      </w:pPr>
      <w:r>
        <w:separator/>
      </w:r>
    </w:p>
  </w:endnote>
  <w:endnote w:type="continuationSeparator" w:id="0">
    <w:p w:rsidR="00E31375" w:rsidRDefault="00E31375" w:rsidP="00FB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75" w:rsidRDefault="00E31375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3E0C0AD" wp14:editId="304C58E8">
          <wp:simplePos x="0" y="0"/>
          <wp:positionH relativeFrom="column">
            <wp:posOffset>-925902</wp:posOffset>
          </wp:positionH>
          <wp:positionV relativeFrom="paragraph">
            <wp:posOffset>-449759</wp:posOffset>
          </wp:positionV>
          <wp:extent cx="7565366" cy="123905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66" cy="1239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375" w:rsidRDefault="00E313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75" w:rsidRDefault="00E31375" w:rsidP="00FB2000">
      <w:pPr>
        <w:spacing w:after="0" w:line="240" w:lineRule="auto"/>
      </w:pPr>
      <w:r>
        <w:separator/>
      </w:r>
    </w:p>
  </w:footnote>
  <w:footnote w:type="continuationSeparator" w:id="0">
    <w:p w:rsidR="00E31375" w:rsidRDefault="00E31375" w:rsidP="00FB2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75" w:rsidRDefault="00E3137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40037D49" wp14:editId="60EA342E">
          <wp:simplePos x="0" y="0"/>
          <wp:positionH relativeFrom="column">
            <wp:posOffset>-910269</wp:posOffset>
          </wp:positionH>
          <wp:positionV relativeFrom="paragraph">
            <wp:posOffset>-458470</wp:posOffset>
          </wp:positionV>
          <wp:extent cx="7548113" cy="207896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113" cy="2078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t>A</w:t>
    </w:r>
  </w:p>
  <w:p w:rsidR="00E31375" w:rsidRDefault="00E313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526"/>
    <w:multiLevelType w:val="hybridMultilevel"/>
    <w:tmpl w:val="D7CE9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272E0"/>
    <w:multiLevelType w:val="hybridMultilevel"/>
    <w:tmpl w:val="DA5EC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22569"/>
    <w:multiLevelType w:val="hybridMultilevel"/>
    <w:tmpl w:val="1CDA40EE"/>
    <w:lvl w:ilvl="0" w:tplc="0C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1C691708"/>
    <w:multiLevelType w:val="hybridMultilevel"/>
    <w:tmpl w:val="6E203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3579D"/>
    <w:multiLevelType w:val="hybridMultilevel"/>
    <w:tmpl w:val="BA1A1F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3B27DA"/>
    <w:multiLevelType w:val="hybridMultilevel"/>
    <w:tmpl w:val="4378B8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937848"/>
    <w:multiLevelType w:val="hybridMultilevel"/>
    <w:tmpl w:val="5942D4AC"/>
    <w:lvl w:ilvl="0" w:tplc="0C0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7">
    <w:nsid w:val="4A2A75DD"/>
    <w:multiLevelType w:val="hybridMultilevel"/>
    <w:tmpl w:val="D6A07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60165"/>
    <w:multiLevelType w:val="hybridMultilevel"/>
    <w:tmpl w:val="4864B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124D3"/>
    <w:multiLevelType w:val="hybridMultilevel"/>
    <w:tmpl w:val="E86AE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715C8"/>
    <w:multiLevelType w:val="hybridMultilevel"/>
    <w:tmpl w:val="92927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B158E"/>
    <w:multiLevelType w:val="hybridMultilevel"/>
    <w:tmpl w:val="1C3A271E"/>
    <w:lvl w:ilvl="0" w:tplc="0C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21"/>
    <w:rsid w:val="00002FF8"/>
    <w:rsid w:val="00006F5F"/>
    <w:rsid w:val="00010853"/>
    <w:rsid w:val="00011BBB"/>
    <w:rsid w:val="00023160"/>
    <w:rsid w:val="00041104"/>
    <w:rsid w:val="0004210F"/>
    <w:rsid w:val="000440A8"/>
    <w:rsid w:val="00047BD3"/>
    <w:rsid w:val="00072012"/>
    <w:rsid w:val="000772DD"/>
    <w:rsid w:val="0009008F"/>
    <w:rsid w:val="00091772"/>
    <w:rsid w:val="000A0AA0"/>
    <w:rsid w:val="000B0EEA"/>
    <w:rsid w:val="000B6B37"/>
    <w:rsid w:val="000C3003"/>
    <w:rsid w:val="000E4CF8"/>
    <w:rsid w:val="000E619A"/>
    <w:rsid w:val="000F0542"/>
    <w:rsid w:val="00111BBC"/>
    <w:rsid w:val="00120DC1"/>
    <w:rsid w:val="001222EF"/>
    <w:rsid w:val="0012464C"/>
    <w:rsid w:val="00125798"/>
    <w:rsid w:val="00126662"/>
    <w:rsid w:val="00127D75"/>
    <w:rsid w:val="00142FDA"/>
    <w:rsid w:val="00195295"/>
    <w:rsid w:val="001A320D"/>
    <w:rsid w:val="001A40A3"/>
    <w:rsid w:val="001B4E57"/>
    <w:rsid w:val="001B54BC"/>
    <w:rsid w:val="001B6491"/>
    <w:rsid w:val="001C3BDA"/>
    <w:rsid w:val="001C5AD9"/>
    <w:rsid w:val="001D5700"/>
    <w:rsid w:val="00200A52"/>
    <w:rsid w:val="002236FF"/>
    <w:rsid w:val="0022622A"/>
    <w:rsid w:val="00233455"/>
    <w:rsid w:val="0023602E"/>
    <w:rsid w:val="002467CF"/>
    <w:rsid w:val="0027431A"/>
    <w:rsid w:val="00276567"/>
    <w:rsid w:val="0028449E"/>
    <w:rsid w:val="002A47EB"/>
    <w:rsid w:val="002A567D"/>
    <w:rsid w:val="002C53F7"/>
    <w:rsid w:val="002C574F"/>
    <w:rsid w:val="002D4CEE"/>
    <w:rsid w:val="002E398F"/>
    <w:rsid w:val="002E495F"/>
    <w:rsid w:val="002F75D9"/>
    <w:rsid w:val="00323396"/>
    <w:rsid w:val="00323637"/>
    <w:rsid w:val="00336FAE"/>
    <w:rsid w:val="00343E6A"/>
    <w:rsid w:val="00344F14"/>
    <w:rsid w:val="003504A3"/>
    <w:rsid w:val="00351CE8"/>
    <w:rsid w:val="0035280D"/>
    <w:rsid w:val="00357B09"/>
    <w:rsid w:val="00363981"/>
    <w:rsid w:val="003836C7"/>
    <w:rsid w:val="003A2470"/>
    <w:rsid w:val="003C1880"/>
    <w:rsid w:val="003E5360"/>
    <w:rsid w:val="003E7905"/>
    <w:rsid w:val="003F1FA6"/>
    <w:rsid w:val="0040658F"/>
    <w:rsid w:val="00414231"/>
    <w:rsid w:val="00430AF6"/>
    <w:rsid w:val="00433831"/>
    <w:rsid w:val="00440A8C"/>
    <w:rsid w:val="00442F63"/>
    <w:rsid w:val="00453A95"/>
    <w:rsid w:val="004752F8"/>
    <w:rsid w:val="004B1834"/>
    <w:rsid w:val="004B24E6"/>
    <w:rsid w:val="004F0023"/>
    <w:rsid w:val="004F57B2"/>
    <w:rsid w:val="004F6C2F"/>
    <w:rsid w:val="00501823"/>
    <w:rsid w:val="00507121"/>
    <w:rsid w:val="0051406F"/>
    <w:rsid w:val="00520693"/>
    <w:rsid w:val="00531ECF"/>
    <w:rsid w:val="0054273D"/>
    <w:rsid w:val="0056133B"/>
    <w:rsid w:val="00576A85"/>
    <w:rsid w:val="00577B41"/>
    <w:rsid w:val="00584AA0"/>
    <w:rsid w:val="00594664"/>
    <w:rsid w:val="00597CBE"/>
    <w:rsid w:val="005A095B"/>
    <w:rsid w:val="005A6BF1"/>
    <w:rsid w:val="005C1188"/>
    <w:rsid w:val="005C397A"/>
    <w:rsid w:val="005D2C2E"/>
    <w:rsid w:val="00604ABE"/>
    <w:rsid w:val="006078B0"/>
    <w:rsid w:val="0062023C"/>
    <w:rsid w:val="006250FC"/>
    <w:rsid w:val="00631117"/>
    <w:rsid w:val="00677868"/>
    <w:rsid w:val="006A7683"/>
    <w:rsid w:val="006B4BFF"/>
    <w:rsid w:val="006E0FBB"/>
    <w:rsid w:val="006E1414"/>
    <w:rsid w:val="00702C83"/>
    <w:rsid w:val="007139A3"/>
    <w:rsid w:val="007252AC"/>
    <w:rsid w:val="00726F2A"/>
    <w:rsid w:val="00732798"/>
    <w:rsid w:val="00732895"/>
    <w:rsid w:val="00740DF9"/>
    <w:rsid w:val="00742EC1"/>
    <w:rsid w:val="007647FC"/>
    <w:rsid w:val="00790381"/>
    <w:rsid w:val="00793493"/>
    <w:rsid w:val="00793E32"/>
    <w:rsid w:val="007B610E"/>
    <w:rsid w:val="007C03FB"/>
    <w:rsid w:val="007E6A5B"/>
    <w:rsid w:val="00801691"/>
    <w:rsid w:val="008221E1"/>
    <w:rsid w:val="00830BD8"/>
    <w:rsid w:val="0085196E"/>
    <w:rsid w:val="008522F8"/>
    <w:rsid w:val="0086170F"/>
    <w:rsid w:val="00864EA7"/>
    <w:rsid w:val="00871E13"/>
    <w:rsid w:val="00891224"/>
    <w:rsid w:val="008A2137"/>
    <w:rsid w:val="008A5EE9"/>
    <w:rsid w:val="008B2ACC"/>
    <w:rsid w:val="008B58A5"/>
    <w:rsid w:val="008C017D"/>
    <w:rsid w:val="008C1667"/>
    <w:rsid w:val="008E0EC8"/>
    <w:rsid w:val="009135CC"/>
    <w:rsid w:val="00913D3B"/>
    <w:rsid w:val="0091653E"/>
    <w:rsid w:val="0092014E"/>
    <w:rsid w:val="00936274"/>
    <w:rsid w:val="00964903"/>
    <w:rsid w:val="00974250"/>
    <w:rsid w:val="0097689F"/>
    <w:rsid w:val="00980426"/>
    <w:rsid w:val="0099481A"/>
    <w:rsid w:val="009A0023"/>
    <w:rsid w:val="009A020D"/>
    <w:rsid w:val="009C247B"/>
    <w:rsid w:val="009D6D94"/>
    <w:rsid w:val="00A01242"/>
    <w:rsid w:val="00A10AA7"/>
    <w:rsid w:val="00A11293"/>
    <w:rsid w:val="00A33AD5"/>
    <w:rsid w:val="00A43D36"/>
    <w:rsid w:val="00A47696"/>
    <w:rsid w:val="00A517E5"/>
    <w:rsid w:val="00A57632"/>
    <w:rsid w:val="00A833A0"/>
    <w:rsid w:val="00AF1C8C"/>
    <w:rsid w:val="00B01E2F"/>
    <w:rsid w:val="00B27D30"/>
    <w:rsid w:val="00B30A3F"/>
    <w:rsid w:val="00B5694C"/>
    <w:rsid w:val="00B63DE0"/>
    <w:rsid w:val="00B750A3"/>
    <w:rsid w:val="00B75969"/>
    <w:rsid w:val="00B80E78"/>
    <w:rsid w:val="00B82E86"/>
    <w:rsid w:val="00B83D07"/>
    <w:rsid w:val="00B84AA5"/>
    <w:rsid w:val="00B9077F"/>
    <w:rsid w:val="00B933A7"/>
    <w:rsid w:val="00BA68D1"/>
    <w:rsid w:val="00BF1EC3"/>
    <w:rsid w:val="00BF46A5"/>
    <w:rsid w:val="00C06AF4"/>
    <w:rsid w:val="00C07C7D"/>
    <w:rsid w:val="00C260BD"/>
    <w:rsid w:val="00C274AF"/>
    <w:rsid w:val="00C46225"/>
    <w:rsid w:val="00C519A1"/>
    <w:rsid w:val="00C6641B"/>
    <w:rsid w:val="00C7399C"/>
    <w:rsid w:val="00C8138B"/>
    <w:rsid w:val="00C822BA"/>
    <w:rsid w:val="00C86BAA"/>
    <w:rsid w:val="00CB16F9"/>
    <w:rsid w:val="00CC6DCB"/>
    <w:rsid w:val="00CD0C2E"/>
    <w:rsid w:val="00CD1E23"/>
    <w:rsid w:val="00CE1624"/>
    <w:rsid w:val="00CF489B"/>
    <w:rsid w:val="00D0532D"/>
    <w:rsid w:val="00D165B0"/>
    <w:rsid w:val="00D22E8F"/>
    <w:rsid w:val="00D24529"/>
    <w:rsid w:val="00D2772C"/>
    <w:rsid w:val="00D314BC"/>
    <w:rsid w:val="00D413DF"/>
    <w:rsid w:val="00D448C6"/>
    <w:rsid w:val="00D44E29"/>
    <w:rsid w:val="00D52E88"/>
    <w:rsid w:val="00D6245D"/>
    <w:rsid w:val="00D6477B"/>
    <w:rsid w:val="00D6793E"/>
    <w:rsid w:val="00D877FC"/>
    <w:rsid w:val="00D96A8E"/>
    <w:rsid w:val="00D96DC9"/>
    <w:rsid w:val="00DA510C"/>
    <w:rsid w:val="00DB7F2F"/>
    <w:rsid w:val="00DC64A0"/>
    <w:rsid w:val="00DE3C33"/>
    <w:rsid w:val="00DE547A"/>
    <w:rsid w:val="00E27405"/>
    <w:rsid w:val="00E31375"/>
    <w:rsid w:val="00E640DC"/>
    <w:rsid w:val="00E714A4"/>
    <w:rsid w:val="00E7764E"/>
    <w:rsid w:val="00E836B6"/>
    <w:rsid w:val="00E8578E"/>
    <w:rsid w:val="00E85F97"/>
    <w:rsid w:val="00E8695A"/>
    <w:rsid w:val="00E93143"/>
    <w:rsid w:val="00EA1905"/>
    <w:rsid w:val="00EC5711"/>
    <w:rsid w:val="00ED1BBF"/>
    <w:rsid w:val="00EF444C"/>
    <w:rsid w:val="00F03BAB"/>
    <w:rsid w:val="00F61BCC"/>
    <w:rsid w:val="00F76093"/>
    <w:rsid w:val="00F86539"/>
    <w:rsid w:val="00FB13F6"/>
    <w:rsid w:val="00FB2000"/>
    <w:rsid w:val="00FE4111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242"/>
    <w:pPr>
      <w:spacing w:after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E88"/>
    <w:pPr>
      <w:spacing w:after="280" w:line="240" w:lineRule="auto"/>
      <w:contextualSpacing/>
      <w:jc w:val="center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4A0"/>
    <w:pPr>
      <w:spacing w:after="0" w:line="240" w:lineRule="auto"/>
      <w:jc w:val="center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64A0"/>
    <w:pPr>
      <w:spacing w:before="240" w:line="240" w:lineRule="auto"/>
      <w:jc w:val="center"/>
      <w:outlineLvl w:val="2"/>
    </w:pPr>
    <w:rPr>
      <w:rFonts w:eastAsia="Times New Roman" w:cs="Arial"/>
      <w:b/>
      <w:color w:val="000000"/>
      <w:sz w:val="24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000"/>
  </w:style>
  <w:style w:type="paragraph" w:styleId="Footer">
    <w:name w:val="footer"/>
    <w:basedOn w:val="Normal"/>
    <w:link w:val="FooterChar"/>
    <w:uiPriority w:val="99"/>
    <w:unhideWhenUsed/>
    <w:rsid w:val="00FB2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000"/>
  </w:style>
  <w:style w:type="paragraph" w:styleId="BalloonText">
    <w:name w:val="Balloon Text"/>
    <w:basedOn w:val="Normal"/>
    <w:link w:val="BalloonTextChar"/>
    <w:uiPriority w:val="99"/>
    <w:semiHidden/>
    <w:unhideWhenUsed/>
    <w:rsid w:val="00FB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0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7121"/>
    <w:pPr>
      <w:ind w:left="720"/>
      <w:contextualSpacing/>
    </w:pPr>
  </w:style>
  <w:style w:type="character" w:customStyle="1" w:styleId="left">
    <w:name w:val="left"/>
    <w:basedOn w:val="DefaultParagraphFont"/>
    <w:rsid w:val="00A10AA7"/>
  </w:style>
  <w:style w:type="character" w:customStyle="1" w:styleId="Heading1Char">
    <w:name w:val="Heading 1 Char"/>
    <w:basedOn w:val="DefaultParagraphFont"/>
    <w:link w:val="Heading1"/>
    <w:uiPriority w:val="9"/>
    <w:rsid w:val="00D52E88"/>
    <w:rPr>
      <w:rFonts w:ascii="Arial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64A0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C64A0"/>
    <w:rPr>
      <w:rFonts w:ascii="Arial" w:eastAsia="Times New Roman" w:hAnsi="Arial" w:cs="Arial"/>
      <w:b/>
      <w:color w:val="000000"/>
      <w:sz w:val="24"/>
      <w:szCs w:val="28"/>
      <w:lang w:eastAsia="en-AU"/>
    </w:rPr>
  </w:style>
  <w:style w:type="paragraph" w:customStyle="1" w:styleId="TableNumbers">
    <w:name w:val="TableNumbers"/>
    <w:basedOn w:val="TableText"/>
    <w:qFormat/>
    <w:rsid w:val="00A01242"/>
    <w:pPr>
      <w:jc w:val="right"/>
    </w:pPr>
  </w:style>
  <w:style w:type="paragraph" w:customStyle="1" w:styleId="TableText">
    <w:name w:val="TableText"/>
    <w:basedOn w:val="Normal"/>
    <w:qFormat/>
    <w:rsid w:val="00A01242"/>
    <w:pPr>
      <w:spacing w:after="0" w:line="240" w:lineRule="auto"/>
    </w:pPr>
    <w:rPr>
      <w:rFonts w:cs="Arial"/>
      <w:color w:val="000000"/>
      <w:sz w:val="18"/>
      <w:szCs w:val="18"/>
    </w:rPr>
  </w:style>
  <w:style w:type="paragraph" w:customStyle="1" w:styleId="TableHeading">
    <w:name w:val="TableHeading"/>
    <w:basedOn w:val="Normal"/>
    <w:qFormat/>
    <w:rsid w:val="009A020D"/>
    <w:pPr>
      <w:spacing w:before="40" w:after="4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242"/>
    <w:pPr>
      <w:spacing w:after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E88"/>
    <w:pPr>
      <w:spacing w:after="280" w:line="240" w:lineRule="auto"/>
      <w:contextualSpacing/>
      <w:jc w:val="center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4A0"/>
    <w:pPr>
      <w:spacing w:after="0" w:line="240" w:lineRule="auto"/>
      <w:jc w:val="center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64A0"/>
    <w:pPr>
      <w:spacing w:before="240" w:line="240" w:lineRule="auto"/>
      <w:jc w:val="center"/>
      <w:outlineLvl w:val="2"/>
    </w:pPr>
    <w:rPr>
      <w:rFonts w:eastAsia="Times New Roman" w:cs="Arial"/>
      <w:b/>
      <w:color w:val="000000"/>
      <w:sz w:val="24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000"/>
  </w:style>
  <w:style w:type="paragraph" w:styleId="Footer">
    <w:name w:val="footer"/>
    <w:basedOn w:val="Normal"/>
    <w:link w:val="FooterChar"/>
    <w:uiPriority w:val="99"/>
    <w:unhideWhenUsed/>
    <w:rsid w:val="00FB2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000"/>
  </w:style>
  <w:style w:type="paragraph" w:styleId="BalloonText">
    <w:name w:val="Balloon Text"/>
    <w:basedOn w:val="Normal"/>
    <w:link w:val="BalloonTextChar"/>
    <w:uiPriority w:val="99"/>
    <w:semiHidden/>
    <w:unhideWhenUsed/>
    <w:rsid w:val="00FB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0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7121"/>
    <w:pPr>
      <w:ind w:left="720"/>
      <w:contextualSpacing/>
    </w:pPr>
  </w:style>
  <w:style w:type="character" w:customStyle="1" w:styleId="left">
    <w:name w:val="left"/>
    <w:basedOn w:val="DefaultParagraphFont"/>
    <w:rsid w:val="00A10AA7"/>
  </w:style>
  <w:style w:type="character" w:customStyle="1" w:styleId="Heading1Char">
    <w:name w:val="Heading 1 Char"/>
    <w:basedOn w:val="DefaultParagraphFont"/>
    <w:link w:val="Heading1"/>
    <w:uiPriority w:val="9"/>
    <w:rsid w:val="00D52E88"/>
    <w:rPr>
      <w:rFonts w:ascii="Arial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64A0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C64A0"/>
    <w:rPr>
      <w:rFonts w:ascii="Arial" w:eastAsia="Times New Roman" w:hAnsi="Arial" w:cs="Arial"/>
      <w:b/>
      <w:color w:val="000000"/>
      <w:sz w:val="24"/>
      <w:szCs w:val="28"/>
      <w:lang w:eastAsia="en-AU"/>
    </w:rPr>
  </w:style>
  <w:style w:type="paragraph" w:customStyle="1" w:styleId="TableNumbers">
    <w:name w:val="TableNumbers"/>
    <w:basedOn w:val="TableText"/>
    <w:qFormat/>
    <w:rsid w:val="00A01242"/>
    <w:pPr>
      <w:jc w:val="right"/>
    </w:pPr>
  </w:style>
  <w:style w:type="paragraph" w:customStyle="1" w:styleId="TableText">
    <w:name w:val="TableText"/>
    <w:basedOn w:val="Normal"/>
    <w:qFormat/>
    <w:rsid w:val="00A01242"/>
    <w:pPr>
      <w:spacing w:after="0" w:line="240" w:lineRule="auto"/>
    </w:pPr>
    <w:rPr>
      <w:rFonts w:cs="Arial"/>
      <w:color w:val="000000"/>
      <w:sz w:val="18"/>
      <w:szCs w:val="18"/>
    </w:rPr>
  </w:style>
  <w:style w:type="paragraph" w:customStyle="1" w:styleId="TableHeading">
    <w:name w:val="TableHeading"/>
    <w:basedOn w:val="Normal"/>
    <w:qFormat/>
    <w:rsid w:val="009A020D"/>
    <w:pPr>
      <w:spacing w:before="40" w:after="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lan\Desktop\Fact%20Sheet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27028-B796-4DC9-BADD-21E46BB2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- Template.dotx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ABS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Sillis</dc:creator>
  <cp:lastModifiedBy>Simon Best</cp:lastModifiedBy>
  <cp:revision>2</cp:revision>
  <cp:lastPrinted>2013-03-14T23:58:00Z</cp:lastPrinted>
  <dcterms:created xsi:type="dcterms:W3CDTF">2013-03-22T00:36:00Z</dcterms:created>
  <dcterms:modified xsi:type="dcterms:W3CDTF">2013-03-22T00:36:00Z</dcterms:modified>
</cp:coreProperties>
</file>