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62023C" w:rsidP="007252AC">
      <w:pPr>
        <w:pStyle w:val="Heading1"/>
      </w:pPr>
      <w:r>
        <w:t>Queensland</w:t>
      </w:r>
    </w:p>
    <w:p w:rsidR="002E737B" w:rsidRDefault="002E737B" w:rsidP="002E737B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146CB9">
        <w:t xml:space="preserve">(LGAs) </w:t>
      </w:r>
      <w:r w:rsidRPr="00DC64A0">
        <w:t>by IRSAD</w:t>
      </w:r>
    </w:p>
    <w:p w:rsidR="008362F4" w:rsidRPr="008362F4" w:rsidRDefault="008362F4" w:rsidP="008362F4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2E737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BD6ACF" w:rsidRPr="002E42CC" w:rsidTr="0037390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A01242" w:rsidRDefault="00BD6ACF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631117">
            <w:pPr>
              <w:pStyle w:val="TableText"/>
            </w:pPr>
            <w:r>
              <w:t>Brisbane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1,042,074</w:t>
            </w:r>
          </w:p>
        </w:tc>
      </w:tr>
      <w:tr w:rsidR="00BD6ACF" w:rsidRPr="002E42CC" w:rsidTr="0037390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A01242" w:rsidRDefault="00BD6ACF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Default="00BD6ACF" w:rsidP="005E20D7">
            <w:pPr>
              <w:pStyle w:val="TableText"/>
            </w:pPr>
            <w:r>
              <w:t>Weipa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3,341</w:t>
            </w:r>
          </w:p>
        </w:tc>
      </w:tr>
      <w:tr w:rsidR="00BD6ACF" w:rsidRPr="002E42CC" w:rsidTr="0037390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A01242" w:rsidRDefault="00BD6ACF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Default="00BD6ACF" w:rsidP="005E20D7">
            <w:pPr>
              <w:pStyle w:val="TableText"/>
            </w:pPr>
            <w:r>
              <w:t>Redland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138,641</w:t>
            </w:r>
          </w:p>
        </w:tc>
      </w:tr>
      <w:tr w:rsidR="00BD6ACF" w:rsidRPr="002E42CC" w:rsidTr="0037390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A01242" w:rsidRDefault="00BD6ACF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Default="00BD6ACF" w:rsidP="005E20D7">
            <w:pPr>
              <w:pStyle w:val="TableText"/>
            </w:pPr>
            <w:r>
              <w:t>Isaac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22,568</w:t>
            </w:r>
          </w:p>
        </w:tc>
      </w:tr>
      <w:tr w:rsidR="00BD6ACF" w:rsidRPr="002E42CC" w:rsidTr="0037390A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A01242" w:rsidRDefault="00BD6ACF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Default="00BD6ACF" w:rsidP="005E20D7">
            <w:pPr>
              <w:pStyle w:val="TableText"/>
            </w:pPr>
            <w:r>
              <w:t>Central Highlands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28,729</w:t>
            </w:r>
          </w:p>
        </w:tc>
      </w:tr>
    </w:tbl>
    <w:p w:rsidR="00023160" w:rsidRDefault="00023160" w:rsidP="00023160">
      <w:pPr>
        <w:pStyle w:val="Heading3"/>
      </w:pPr>
    </w:p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BD6ACF" w:rsidRPr="002E42CC" w:rsidTr="00F252F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9C247B" w:rsidRDefault="00BD6AC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A01242">
            <w:pPr>
              <w:pStyle w:val="TableText"/>
            </w:pPr>
            <w:r>
              <w:t>Yarrabah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2,406</w:t>
            </w:r>
          </w:p>
        </w:tc>
      </w:tr>
      <w:tr w:rsidR="00BD6ACF" w:rsidRPr="002E42CC" w:rsidTr="00F252F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9C247B" w:rsidRDefault="00BD6AC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A01242">
            <w:pPr>
              <w:pStyle w:val="TableText"/>
            </w:pPr>
            <w:r>
              <w:t>Cherbourg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1,223</w:t>
            </w:r>
          </w:p>
        </w:tc>
      </w:tr>
      <w:tr w:rsidR="00BD6ACF" w:rsidRPr="002E42CC" w:rsidTr="00F252F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9C247B" w:rsidRDefault="00BD6AC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A01242">
            <w:pPr>
              <w:pStyle w:val="TableText"/>
            </w:pPr>
            <w:r>
              <w:t>Aurukun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1,292</w:t>
            </w:r>
          </w:p>
        </w:tc>
      </w:tr>
      <w:tr w:rsidR="00BD6ACF" w:rsidRPr="002E42CC" w:rsidTr="00F252F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9C247B" w:rsidRDefault="00BD6AC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A01242">
            <w:pPr>
              <w:pStyle w:val="TableText"/>
            </w:pPr>
            <w:r>
              <w:t>Woorabinda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942</w:t>
            </w:r>
          </w:p>
        </w:tc>
      </w:tr>
      <w:tr w:rsidR="00BD6ACF" w:rsidRPr="002E42CC" w:rsidTr="00F252F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BD6ACF" w:rsidRPr="009C247B" w:rsidRDefault="00BD6AC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BD6ACF" w:rsidRPr="001B6491" w:rsidRDefault="00BD6ACF" w:rsidP="00A01242">
            <w:pPr>
              <w:pStyle w:val="TableText"/>
            </w:pPr>
            <w:proofErr w:type="spellStart"/>
            <w:r>
              <w:t>Napranum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BD6ACF" w:rsidRDefault="00BD6ACF" w:rsidP="00A14FE2">
            <w:pPr>
              <w:pStyle w:val="TableNumbers"/>
            </w:pPr>
            <w:r>
              <w:t>854</w:t>
            </w:r>
          </w:p>
        </w:tc>
      </w:tr>
    </w:tbl>
    <w:p w:rsidR="00A01242" w:rsidRDefault="00A01242" w:rsidP="00A01242"/>
    <w:p w:rsidR="002E737B" w:rsidRPr="00F9553F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2E737B" w:rsidRPr="00ED3C4A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2E737B" w:rsidRPr="00F9553F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146CB9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2E737B" w:rsidRPr="00ED3C4A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C822BA" w:rsidP="00CE659C">
      <w:pPr>
        <w:pStyle w:val="Heading1"/>
        <w:tabs>
          <w:tab w:val="center" w:pos="4513"/>
          <w:tab w:val="left" w:pos="7838"/>
        </w:tabs>
      </w:pPr>
      <w:r>
        <w:lastRenderedPageBreak/>
        <w:t>Queensland</w:t>
      </w:r>
      <w:r w:rsidR="00023160">
        <w:t xml:space="preserve"> Cap</w:t>
      </w:r>
      <w:r w:rsidR="001A40A3">
        <w:t>ital City -</w:t>
      </w:r>
      <w:r>
        <w:t xml:space="preserve"> Brisbane</w:t>
      </w:r>
    </w:p>
    <w:p w:rsidR="002E737B" w:rsidRDefault="002E737B" w:rsidP="002E737B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 xml:space="preserve">Most advantaged and disadvantaged </w:t>
      </w:r>
      <w:r w:rsidR="008362F4">
        <w:t>Statistical Areas Level 2 (SA2s)</w:t>
      </w:r>
      <w:r w:rsidR="002D4CEE" w:rsidRPr="002467CF">
        <w:t xml:space="preserve"> </w:t>
      </w:r>
      <w:r w:rsidRPr="002467CF">
        <w:t>by IRSAD</w:t>
      </w:r>
    </w:p>
    <w:p w:rsidR="008362F4" w:rsidRPr="008362F4" w:rsidRDefault="008362F4" w:rsidP="008362F4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8362F4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2E737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8362F4">
            <w:pPr>
              <w:pStyle w:val="TableHeading"/>
            </w:pPr>
            <w:r>
              <w:t>S</w:t>
            </w:r>
            <w:r w:rsidR="008362F4">
              <w:t>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C822BA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bookmarkStart w:id="0" w:name="_GoBack"/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Text"/>
            </w:pPr>
            <w:r>
              <w:t>Pinjarra Hills-Pullenvale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Numbers"/>
            </w:pPr>
            <w:r>
              <w:t>5,360</w:t>
            </w:r>
          </w:p>
        </w:tc>
      </w:tr>
      <w:bookmarkEnd w:id="0"/>
      <w:tr w:rsidR="00C822BA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8362F4" w:rsidP="00DF40A4">
            <w:pPr>
              <w:pStyle w:val="TableText"/>
            </w:pPr>
            <w:r>
              <w:t>Fig Tree Pocket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8362F4" w:rsidP="00DF40A4">
            <w:pPr>
              <w:pStyle w:val="TableNumbers"/>
            </w:pPr>
            <w:r>
              <w:t>3,651</w:t>
            </w:r>
          </w:p>
        </w:tc>
      </w:tr>
      <w:tr w:rsidR="00C822BA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Pr="001B6491" w:rsidRDefault="008362F4" w:rsidP="00DF40A4">
            <w:pPr>
              <w:pStyle w:val="TableText"/>
            </w:pPr>
            <w:r>
              <w:t>Brookfield-Kenmore Hills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8362F4" w:rsidP="00DF40A4">
            <w:pPr>
              <w:pStyle w:val="TableNumbers"/>
            </w:pPr>
            <w:r>
              <w:t>6,955</w:t>
            </w:r>
          </w:p>
        </w:tc>
      </w:tr>
      <w:tr w:rsidR="00C822BA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Text"/>
            </w:pPr>
            <w:r>
              <w:t>Chapel Hill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Numbers"/>
            </w:pPr>
            <w:r>
              <w:t>10,160</w:t>
            </w:r>
          </w:p>
        </w:tc>
      </w:tr>
      <w:tr w:rsidR="00C822BA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C822BA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Text"/>
            </w:pPr>
            <w:r>
              <w:t>Wakerley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8362F4" w:rsidP="00DF40A4">
            <w:pPr>
              <w:pStyle w:val="TableNumbers"/>
            </w:pPr>
            <w:r>
              <w:t>7,807</w:t>
            </w:r>
          </w:p>
        </w:tc>
      </w:tr>
    </w:tbl>
    <w:p w:rsidR="008362F4" w:rsidRDefault="008362F4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8362F4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2E737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8362F4">
            <w:pPr>
              <w:pStyle w:val="TableHeading"/>
            </w:pPr>
            <w:r>
              <w:t>S</w:t>
            </w:r>
            <w:r w:rsidR="008362F4">
              <w:t>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FB13F6" w:rsidRDefault="008362F4" w:rsidP="002467CF">
            <w:pPr>
              <w:pStyle w:val="TableText"/>
            </w:pPr>
            <w:r>
              <w:t>Riverview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8362F4" w:rsidP="002467CF">
            <w:pPr>
              <w:pStyle w:val="TableNumbers"/>
            </w:pPr>
            <w:r>
              <w:t>3,246</w:t>
            </w:r>
          </w:p>
        </w:tc>
      </w:tr>
      <w:tr w:rsidR="001B54BC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8362F4" w:rsidP="002467CF">
            <w:pPr>
              <w:pStyle w:val="TableText"/>
            </w:pPr>
            <w:r>
              <w:t>Inala-Richlands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8362F4" w:rsidP="002467CF">
            <w:pPr>
              <w:pStyle w:val="TableNumbers"/>
            </w:pPr>
            <w:r>
              <w:t>15,451</w:t>
            </w:r>
          </w:p>
        </w:tc>
      </w:tr>
      <w:tr w:rsidR="001B54BC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Pr="001B6491" w:rsidRDefault="008362F4" w:rsidP="002467CF">
            <w:pPr>
              <w:pStyle w:val="TableText"/>
            </w:pPr>
            <w:r>
              <w:t>Wacol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8362F4" w:rsidP="002467CF">
            <w:pPr>
              <w:pStyle w:val="TableNumbers"/>
            </w:pPr>
            <w:r>
              <w:t>4,939</w:t>
            </w:r>
          </w:p>
        </w:tc>
      </w:tr>
      <w:tr w:rsidR="001B54BC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8362F4" w:rsidP="002467CF">
            <w:pPr>
              <w:pStyle w:val="TableText"/>
            </w:pPr>
            <w:r>
              <w:t>Logan Central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8362F4" w:rsidP="002467CF">
            <w:pPr>
              <w:pStyle w:val="TableNumbers"/>
            </w:pPr>
            <w:r>
              <w:t>6,275</w:t>
            </w:r>
          </w:p>
        </w:tc>
      </w:tr>
      <w:tr w:rsidR="001B54BC" w:rsidRPr="002E42CC" w:rsidTr="002E737B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1B54BC" w:rsidRDefault="00D47206" w:rsidP="002467CF">
            <w:pPr>
              <w:pStyle w:val="TableText"/>
            </w:pPr>
            <w:r>
              <w:t>Wood</w:t>
            </w:r>
            <w:r w:rsidR="008362F4">
              <w:t>ridge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8362F4" w:rsidP="002467CF">
            <w:pPr>
              <w:pStyle w:val="TableNumbers"/>
            </w:pPr>
            <w:r>
              <w:t>12,790</w:t>
            </w:r>
          </w:p>
        </w:tc>
      </w:tr>
    </w:tbl>
    <w:p w:rsidR="002467CF" w:rsidRDefault="002467CF" w:rsidP="002467CF"/>
    <w:p w:rsidR="002E737B" w:rsidRPr="00F9553F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2E737B" w:rsidRPr="00F9553F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A83E4D" w:rsidRPr="00B05A86" w:rsidRDefault="00A83E4D" w:rsidP="00A83E4D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A83E4D" w:rsidRPr="00B05A86" w:rsidRDefault="00A83E4D" w:rsidP="00A83E4D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146CB9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A83E4D" w:rsidRPr="00F9553F" w:rsidRDefault="00A83E4D" w:rsidP="00A83E4D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75969" w:rsidRPr="002E737B" w:rsidRDefault="002E737B" w:rsidP="002E737B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B75969" w:rsidRPr="002E737B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3160"/>
    <w:rsid w:val="00041104"/>
    <w:rsid w:val="0004210F"/>
    <w:rsid w:val="000440A8"/>
    <w:rsid w:val="00047BD3"/>
    <w:rsid w:val="00060F5F"/>
    <w:rsid w:val="00072012"/>
    <w:rsid w:val="00076865"/>
    <w:rsid w:val="000772DD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46CB9"/>
    <w:rsid w:val="00195295"/>
    <w:rsid w:val="001A320D"/>
    <w:rsid w:val="001A40A3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8449E"/>
    <w:rsid w:val="0029056D"/>
    <w:rsid w:val="002A47EB"/>
    <w:rsid w:val="002C53F7"/>
    <w:rsid w:val="002C574F"/>
    <w:rsid w:val="002D4CEE"/>
    <w:rsid w:val="002E398F"/>
    <w:rsid w:val="002E495F"/>
    <w:rsid w:val="002E737B"/>
    <w:rsid w:val="002F75D9"/>
    <w:rsid w:val="00323396"/>
    <w:rsid w:val="00323637"/>
    <w:rsid w:val="00336FAE"/>
    <w:rsid w:val="00343E6A"/>
    <w:rsid w:val="00344F14"/>
    <w:rsid w:val="003504A3"/>
    <w:rsid w:val="00351CE8"/>
    <w:rsid w:val="00353D85"/>
    <w:rsid w:val="00357B09"/>
    <w:rsid w:val="00363981"/>
    <w:rsid w:val="003836C7"/>
    <w:rsid w:val="003A2470"/>
    <w:rsid w:val="003E5360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ABE"/>
    <w:rsid w:val="0062023C"/>
    <w:rsid w:val="006250FC"/>
    <w:rsid w:val="00631117"/>
    <w:rsid w:val="00677868"/>
    <w:rsid w:val="006A7683"/>
    <w:rsid w:val="006B4BFF"/>
    <w:rsid w:val="006E0FBB"/>
    <w:rsid w:val="006E1414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610E"/>
    <w:rsid w:val="007C03FB"/>
    <w:rsid w:val="00801691"/>
    <w:rsid w:val="008221E1"/>
    <w:rsid w:val="00830BD8"/>
    <w:rsid w:val="008362F4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6274"/>
    <w:rsid w:val="00964903"/>
    <w:rsid w:val="00974250"/>
    <w:rsid w:val="0097689F"/>
    <w:rsid w:val="00980426"/>
    <w:rsid w:val="009A0023"/>
    <w:rsid w:val="009A020D"/>
    <w:rsid w:val="009C247B"/>
    <w:rsid w:val="009D6D94"/>
    <w:rsid w:val="00A01242"/>
    <w:rsid w:val="00A10AA7"/>
    <w:rsid w:val="00A11293"/>
    <w:rsid w:val="00A20608"/>
    <w:rsid w:val="00A33AD5"/>
    <w:rsid w:val="00A43D36"/>
    <w:rsid w:val="00A47696"/>
    <w:rsid w:val="00A517E5"/>
    <w:rsid w:val="00A57632"/>
    <w:rsid w:val="00A833A0"/>
    <w:rsid w:val="00A83E4D"/>
    <w:rsid w:val="00AF1C8C"/>
    <w:rsid w:val="00B01E2F"/>
    <w:rsid w:val="00B27D30"/>
    <w:rsid w:val="00B30A3F"/>
    <w:rsid w:val="00B37E53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D6ACF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22BA"/>
    <w:rsid w:val="00C86BAA"/>
    <w:rsid w:val="00CB16F9"/>
    <w:rsid w:val="00CC6DCB"/>
    <w:rsid w:val="00CD0C2E"/>
    <w:rsid w:val="00CD1E23"/>
    <w:rsid w:val="00CE1624"/>
    <w:rsid w:val="00CE659C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47206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F03BAB"/>
    <w:rsid w:val="00F86539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5562-07C1-4ED8-89F6-5DE03BCD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3</cp:revision>
  <cp:lastPrinted>2013-03-14T23:58:00Z</cp:lastPrinted>
  <dcterms:created xsi:type="dcterms:W3CDTF">2013-03-22T00:31:00Z</dcterms:created>
  <dcterms:modified xsi:type="dcterms:W3CDTF">2013-03-22T03:07:00Z</dcterms:modified>
</cp:coreProperties>
</file>